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623" w:rsidRPr="008D1017" w:rsidRDefault="008D1017" w:rsidP="00AC4623">
      <w:pPr>
        <w:kinsoku w:val="0"/>
        <w:overflowPunct w:val="0"/>
        <w:autoSpaceDE w:val="0"/>
        <w:autoSpaceDN w:val="0"/>
        <w:adjustRightInd w:val="0"/>
        <w:spacing w:before="119" w:after="0" w:line="240" w:lineRule="auto"/>
        <w:ind w:left="40" w:right="118"/>
        <w:rPr>
          <w:rFonts w:cs="Arial"/>
          <w:spacing w:val="-1"/>
        </w:rPr>
      </w:pPr>
      <w:bookmarkStart w:id="0" w:name="_GoBack"/>
      <w:bookmarkEnd w:id="0"/>
      <w:r w:rsidRPr="008D1017">
        <w:rPr>
          <w:rFonts w:cs="Arial"/>
          <w:b/>
          <w:spacing w:val="-1"/>
        </w:rPr>
        <w:t>Surgent CPA Review</w:t>
      </w:r>
      <w:r w:rsidRPr="008D1017">
        <w:rPr>
          <w:rFonts w:cs="Arial"/>
          <w:spacing w:val="-1"/>
        </w:rPr>
        <w:t xml:space="preserve"> provides its students with a uniquely focused and streamlined ap</w:t>
      </w:r>
      <w:r>
        <w:rPr>
          <w:rFonts w:cs="Arial"/>
          <w:spacing w:val="-1"/>
        </w:rPr>
        <w:t>proach to passing the CPA exam. We</w:t>
      </w:r>
      <w:r w:rsidR="000C7E71">
        <w:rPr>
          <w:rFonts w:cs="Arial"/>
          <w:spacing w:val="-1"/>
        </w:rPr>
        <w:t xml:space="preserve"> update our online material at least quarterly to </w:t>
      </w:r>
      <w:r>
        <w:rPr>
          <w:rFonts w:cs="Arial"/>
          <w:spacing w:val="-1"/>
        </w:rPr>
        <w:t>ensure that our students receive the most up-to-date information</w:t>
      </w:r>
      <w:r w:rsidR="000C7E71">
        <w:rPr>
          <w:rFonts w:cs="Arial"/>
          <w:spacing w:val="-1"/>
        </w:rPr>
        <w:t>.</w:t>
      </w:r>
      <w:r>
        <w:rPr>
          <w:rFonts w:cs="Arial"/>
          <w:spacing w:val="-1"/>
        </w:rPr>
        <w:t xml:space="preserve"> </w:t>
      </w:r>
      <w:r w:rsidR="008E403C">
        <w:rPr>
          <w:rFonts w:cs="Arial"/>
          <w:spacing w:val="-1"/>
        </w:rPr>
        <w:t xml:space="preserve">The </w:t>
      </w:r>
      <w:r w:rsidR="000C7E71" w:rsidRPr="008D1017">
        <w:rPr>
          <w:rFonts w:cs="Arial"/>
          <w:spacing w:val="-1"/>
        </w:rPr>
        <w:t xml:space="preserve">Quarter 1, 2016 test window </w:t>
      </w:r>
      <w:r w:rsidR="000C7E71">
        <w:rPr>
          <w:rFonts w:cs="Arial"/>
          <w:spacing w:val="-1"/>
        </w:rPr>
        <w:t xml:space="preserve">is fast approaching, and to assist you in your studying, we have summarized the </w:t>
      </w:r>
      <w:r w:rsidR="00AC4623" w:rsidRPr="008D1017">
        <w:rPr>
          <w:rFonts w:cs="Arial"/>
          <w:spacing w:val="-1"/>
        </w:rPr>
        <w:t xml:space="preserve">Financial Accounting and Reporting standards </w:t>
      </w:r>
      <w:r w:rsidR="000C7E71">
        <w:rPr>
          <w:rFonts w:cs="Arial"/>
          <w:spacing w:val="-1"/>
        </w:rPr>
        <w:t xml:space="preserve">that </w:t>
      </w:r>
      <w:r w:rsidR="00AC4623" w:rsidRPr="008D1017">
        <w:rPr>
          <w:rFonts w:cs="Arial"/>
          <w:spacing w:val="-1"/>
        </w:rPr>
        <w:t xml:space="preserve">will become testable in </w:t>
      </w:r>
      <w:r w:rsidR="000C7E71">
        <w:rPr>
          <w:rFonts w:cs="Arial"/>
          <w:spacing w:val="-1"/>
        </w:rPr>
        <w:t xml:space="preserve">that window. </w:t>
      </w:r>
      <w:r w:rsidR="00AC4623" w:rsidRPr="008D1017">
        <w:rPr>
          <w:rFonts w:cs="Arial"/>
          <w:spacing w:val="-1"/>
        </w:rPr>
        <w:t>Some standards have been omitted from the list because the editors believe that the content of the standard</w:t>
      </w:r>
      <w:r w:rsidR="007C36CC" w:rsidRPr="008D1017">
        <w:rPr>
          <w:rFonts w:cs="Arial"/>
          <w:spacing w:val="-1"/>
        </w:rPr>
        <w:t>s</w:t>
      </w:r>
      <w:r w:rsidR="00AC4623" w:rsidRPr="008D1017">
        <w:rPr>
          <w:rFonts w:cs="Arial"/>
          <w:spacing w:val="-1"/>
        </w:rPr>
        <w:t xml:space="preserve"> is beyond the scope of the CPA exam (i.e., ASU No. 2015-06, </w:t>
      </w:r>
      <w:r w:rsidR="00554C6C" w:rsidRPr="008D1017">
        <w:rPr>
          <w:rFonts w:cs="Arial"/>
          <w:spacing w:val="-1"/>
        </w:rPr>
        <w:t xml:space="preserve">07, </w:t>
      </w:r>
      <w:r w:rsidR="00AC4623" w:rsidRPr="008D1017">
        <w:rPr>
          <w:rFonts w:cs="Arial"/>
          <w:spacing w:val="-1"/>
        </w:rPr>
        <w:t>08, and 09).</w:t>
      </w:r>
      <w:r w:rsidR="00763C05">
        <w:rPr>
          <w:rFonts w:cs="Arial"/>
          <w:spacing w:val="-1"/>
        </w:rPr>
        <w:t xml:space="preserve"> We hope you find this helpful, and wish you good luck on your exam!</w:t>
      </w:r>
    </w:p>
    <w:p w:rsidR="00AC4623" w:rsidRPr="00AC4623" w:rsidRDefault="00AC4623" w:rsidP="00AC4623">
      <w:pPr>
        <w:kinsoku w:val="0"/>
        <w:overflowPunct w:val="0"/>
        <w:autoSpaceDE w:val="0"/>
        <w:autoSpaceDN w:val="0"/>
        <w:adjustRightInd w:val="0"/>
        <w:spacing w:before="119" w:after="0" w:line="240" w:lineRule="auto"/>
        <w:ind w:left="40" w:right="118"/>
        <w:rPr>
          <w:rFonts w:cs="Arial"/>
          <w:spacing w:val="-1"/>
          <w:sz w:val="20"/>
          <w:szCs w:val="20"/>
        </w:rPr>
      </w:pPr>
    </w:p>
    <w:tbl>
      <w:tblPr>
        <w:tblStyle w:val="TableGrid"/>
        <w:tblW w:w="0" w:type="auto"/>
        <w:tblLook w:val="04A0" w:firstRow="1" w:lastRow="0" w:firstColumn="1" w:lastColumn="0" w:noHBand="0" w:noVBand="1"/>
      </w:tblPr>
      <w:tblGrid>
        <w:gridCol w:w="9350"/>
      </w:tblGrid>
      <w:tr w:rsidR="00F430C4" w:rsidTr="00F430C4">
        <w:tc>
          <w:tcPr>
            <w:tcW w:w="9350" w:type="dxa"/>
          </w:tcPr>
          <w:p w:rsidR="003B0BE1" w:rsidRDefault="003B0BE1" w:rsidP="003B0BE1">
            <w:pPr>
              <w:kinsoku w:val="0"/>
              <w:overflowPunct w:val="0"/>
              <w:autoSpaceDE w:val="0"/>
              <w:autoSpaceDN w:val="0"/>
              <w:adjustRightInd w:val="0"/>
              <w:spacing w:line="184" w:lineRule="exact"/>
              <w:ind w:left="40"/>
              <w:jc w:val="both"/>
              <w:rPr>
                <w:rFonts w:cs="Arial"/>
                <w:b/>
                <w:sz w:val="20"/>
                <w:szCs w:val="20"/>
              </w:rPr>
            </w:pPr>
          </w:p>
          <w:p w:rsidR="00F430C4" w:rsidRPr="003B0BE1" w:rsidRDefault="00F430C4" w:rsidP="003B0BE1">
            <w:pPr>
              <w:kinsoku w:val="0"/>
              <w:overflowPunct w:val="0"/>
              <w:autoSpaceDE w:val="0"/>
              <w:autoSpaceDN w:val="0"/>
              <w:adjustRightInd w:val="0"/>
              <w:spacing w:line="184" w:lineRule="exact"/>
              <w:ind w:left="40"/>
              <w:jc w:val="both"/>
              <w:rPr>
                <w:rFonts w:cs="Arial"/>
                <w:sz w:val="20"/>
                <w:szCs w:val="20"/>
              </w:rPr>
            </w:pPr>
            <w:r w:rsidRPr="003B0BE1">
              <w:rPr>
                <w:rFonts w:cs="Arial"/>
                <w:b/>
                <w:sz w:val="20"/>
                <w:szCs w:val="20"/>
              </w:rPr>
              <w:t xml:space="preserve">ASU No. 2015-03, </w:t>
            </w:r>
            <w:r w:rsidRPr="003B0BE1">
              <w:rPr>
                <w:rFonts w:cs="Arial"/>
                <w:b/>
                <w:i/>
                <w:sz w:val="20"/>
                <w:szCs w:val="20"/>
              </w:rPr>
              <w:t>Interest</w:t>
            </w:r>
            <w:r w:rsidR="009F0B9B">
              <w:rPr>
                <w:rFonts w:cs="Arial"/>
                <w:b/>
                <w:i/>
                <w:sz w:val="20"/>
                <w:szCs w:val="20"/>
              </w:rPr>
              <w:t xml:space="preserve"> </w:t>
            </w:r>
            <w:r w:rsidRPr="003B0BE1">
              <w:rPr>
                <w:rFonts w:cs="Arial"/>
                <w:b/>
                <w:i/>
                <w:sz w:val="20"/>
                <w:szCs w:val="20"/>
              </w:rPr>
              <w:t>- Imputation of Interest (Subtopic 835-30): Simplifying the Presentation of Debt Issuance Cost</w:t>
            </w:r>
            <w:r w:rsidRPr="003B0BE1">
              <w:rPr>
                <w:rFonts w:cs="Arial"/>
                <w:i/>
                <w:sz w:val="20"/>
                <w:szCs w:val="20"/>
              </w:rPr>
              <w:t xml:space="preserve"> </w:t>
            </w:r>
          </w:p>
          <w:p w:rsidR="003B0BE1" w:rsidRPr="003B0BE1" w:rsidRDefault="003B0BE1" w:rsidP="003B0BE1">
            <w:pPr>
              <w:kinsoku w:val="0"/>
              <w:overflowPunct w:val="0"/>
              <w:autoSpaceDE w:val="0"/>
              <w:autoSpaceDN w:val="0"/>
              <w:adjustRightInd w:val="0"/>
              <w:spacing w:line="184" w:lineRule="exact"/>
              <w:ind w:left="40"/>
              <w:jc w:val="both"/>
              <w:rPr>
                <w:rFonts w:cs="Arial"/>
                <w:sz w:val="20"/>
                <w:szCs w:val="20"/>
              </w:rPr>
            </w:pPr>
          </w:p>
          <w:p w:rsidR="003B0BE1" w:rsidRPr="003B0BE1" w:rsidRDefault="003B0BE1" w:rsidP="003B0BE1">
            <w:pPr>
              <w:kinsoku w:val="0"/>
              <w:overflowPunct w:val="0"/>
              <w:autoSpaceDE w:val="0"/>
              <w:autoSpaceDN w:val="0"/>
              <w:adjustRightInd w:val="0"/>
              <w:spacing w:before="119"/>
              <w:ind w:left="40" w:right="118"/>
              <w:rPr>
                <w:rFonts w:cs="Arial"/>
                <w:spacing w:val="-1"/>
                <w:sz w:val="20"/>
                <w:szCs w:val="20"/>
              </w:rPr>
            </w:pPr>
            <w:r w:rsidRPr="003B0BE1">
              <w:rPr>
                <w:rFonts w:cs="Arial"/>
                <w:spacing w:val="-1"/>
                <w:sz w:val="20"/>
                <w:szCs w:val="20"/>
              </w:rPr>
              <w:t>The FASB received feedback that having different balance sheet presentation requirements for debt issuance costs and debt discount</w:t>
            </w:r>
            <w:r>
              <w:rPr>
                <w:rFonts w:cs="Arial"/>
                <w:spacing w:val="-1"/>
                <w:sz w:val="20"/>
                <w:szCs w:val="20"/>
              </w:rPr>
              <w:t>s</w:t>
            </w:r>
            <w:r w:rsidRPr="003B0BE1">
              <w:rPr>
                <w:rFonts w:cs="Arial"/>
                <w:spacing w:val="-1"/>
                <w:sz w:val="20"/>
                <w:szCs w:val="20"/>
              </w:rPr>
              <w:t xml:space="preserve"> and premium</w:t>
            </w:r>
            <w:r>
              <w:rPr>
                <w:rFonts w:cs="Arial"/>
                <w:spacing w:val="-1"/>
                <w:sz w:val="20"/>
                <w:szCs w:val="20"/>
              </w:rPr>
              <w:t>s</w:t>
            </w:r>
            <w:r w:rsidRPr="003B0BE1">
              <w:rPr>
                <w:rFonts w:cs="Arial"/>
                <w:spacing w:val="-1"/>
                <w:sz w:val="20"/>
                <w:szCs w:val="20"/>
              </w:rPr>
              <w:t xml:space="preserve"> created undo complexity. Recognizing debt issuance costs as a deferred charge (i.e., an asset) </w:t>
            </w:r>
            <w:r>
              <w:rPr>
                <w:rFonts w:cs="Arial"/>
                <w:spacing w:val="-1"/>
                <w:sz w:val="20"/>
                <w:szCs w:val="20"/>
              </w:rPr>
              <w:t xml:space="preserve">also conflicted with </w:t>
            </w:r>
            <w:r w:rsidRPr="003B0BE1">
              <w:rPr>
                <w:rFonts w:cs="Arial"/>
                <w:spacing w:val="-1"/>
                <w:sz w:val="20"/>
                <w:szCs w:val="20"/>
              </w:rPr>
              <w:t>the guidance in International Financial Reporting Standards (IFRS), which requires that transaction costs be deducted from the carrying value of the financial liability and not recorded as separate assets.</w:t>
            </w:r>
          </w:p>
          <w:p w:rsidR="00F430C4" w:rsidRDefault="003B0BE1" w:rsidP="009F0B9B">
            <w:pPr>
              <w:kinsoku w:val="0"/>
              <w:overflowPunct w:val="0"/>
              <w:autoSpaceDE w:val="0"/>
              <w:autoSpaceDN w:val="0"/>
              <w:adjustRightInd w:val="0"/>
              <w:spacing w:before="119"/>
              <w:ind w:left="40" w:right="118"/>
              <w:rPr>
                <w:rFonts w:cs="Arial"/>
                <w:spacing w:val="-1"/>
                <w:sz w:val="20"/>
                <w:szCs w:val="20"/>
              </w:rPr>
            </w:pPr>
            <w:r w:rsidRPr="003B0BE1">
              <w:rPr>
                <w:rFonts w:cs="Arial"/>
                <w:spacing w:val="-1"/>
                <w:sz w:val="20"/>
                <w:szCs w:val="20"/>
              </w:rPr>
              <w:t>The</w:t>
            </w:r>
            <w:r w:rsidRPr="003B0BE1">
              <w:rPr>
                <w:rFonts w:cs="Arial"/>
                <w:spacing w:val="13"/>
                <w:sz w:val="20"/>
                <w:szCs w:val="20"/>
              </w:rPr>
              <w:t xml:space="preserve"> </w:t>
            </w:r>
            <w:r w:rsidRPr="003B0BE1">
              <w:rPr>
                <w:rFonts w:cs="Arial"/>
                <w:spacing w:val="-1"/>
                <w:sz w:val="20"/>
                <w:szCs w:val="20"/>
              </w:rPr>
              <w:t>amendments</w:t>
            </w:r>
            <w:r w:rsidRPr="003B0BE1">
              <w:rPr>
                <w:rFonts w:cs="Arial"/>
                <w:spacing w:val="13"/>
                <w:sz w:val="20"/>
                <w:szCs w:val="20"/>
              </w:rPr>
              <w:t xml:space="preserve"> </w:t>
            </w:r>
            <w:r w:rsidRPr="003B0BE1">
              <w:rPr>
                <w:rFonts w:cs="Arial"/>
                <w:spacing w:val="-1"/>
                <w:sz w:val="20"/>
                <w:szCs w:val="20"/>
              </w:rPr>
              <w:t>in</w:t>
            </w:r>
            <w:r w:rsidRPr="003B0BE1">
              <w:rPr>
                <w:rFonts w:cs="Arial"/>
                <w:spacing w:val="14"/>
                <w:sz w:val="20"/>
                <w:szCs w:val="20"/>
              </w:rPr>
              <w:t xml:space="preserve"> </w:t>
            </w:r>
            <w:r w:rsidRPr="003B0BE1">
              <w:rPr>
                <w:rFonts w:cs="Arial"/>
                <w:spacing w:val="-1"/>
                <w:sz w:val="20"/>
                <w:szCs w:val="20"/>
              </w:rPr>
              <w:t>this</w:t>
            </w:r>
            <w:r w:rsidRPr="003B0BE1">
              <w:rPr>
                <w:rFonts w:cs="Arial"/>
                <w:spacing w:val="13"/>
                <w:sz w:val="20"/>
                <w:szCs w:val="20"/>
              </w:rPr>
              <w:t xml:space="preserve"> </w:t>
            </w:r>
            <w:r w:rsidRPr="003B0BE1">
              <w:rPr>
                <w:rFonts w:cs="Arial"/>
                <w:spacing w:val="-1"/>
                <w:sz w:val="20"/>
                <w:szCs w:val="20"/>
              </w:rPr>
              <w:t>Update</w:t>
            </w:r>
            <w:r w:rsidRPr="003B0BE1">
              <w:rPr>
                <w:rFonts w:cs="Arial"/>
                <w:spacing w:val="44"/>
                <w:w w:val="99"/>
                <w:sz w:val="20"/>
                <w:szCs w:val="20"/>
              </w:rPr>
              <w:t xml:space="preserve"> </w:t>
            </w:r>
            <w:r w:rsidRPr="003B0BE1">
              <w:rPr>
                <w:rFonts w:cs="Arial"/>
                <w:spacing w:val="-1"/>
                <w:sz w:val="20"/>
                <w:szCs w:val="20"/>
              </w:rPr>
              <w:t>require</w:t>
            </w:r>
            <w:r w:rsidRPr="003B0BE1">
              <w:rPr>
                <w:rFonts w:cs="Arial"/>
                <w:spacing w:val="-4"/>
                <w:sz w:val="20"/>
                <w:szCs w:val="20"/>
              </w:rPr>
              <w:t xml:space="preserve"> </w:t>
            </w:r>
            <w:r w:rsidRPr="003B0BE1">
              <w:rPr>
                <w:rFonts w:cs="Arial"/>
                <w:spacing w:val="-1"/>
                <w:sz w:val="20"/>
                <w:szCs w:val="20"/>
              </w:rPr>
              <w:t>that</w:t>
            </w:r>
            <w:r w:rsidRPr="003B0BE1">
              <w:rPr>
                <w:rFonts w:cs="Arial"/>
                <w:spacing w:val="-4"/>
                <w:sz w:val="20"/>
                <w:szCs w:val="20"/>
              </w:rPr>
              <w:t xml:space="preserve"> </w:t>
            </w:r>
            <w:r w:rsidRPr="003B0BE1">
              <w:rPr>
                <w:rFonts w:cs="Arial"/>
                <w:spacing w:val="-1"/>
                <w:sz w:val="20"/>
                <w:szCs w:val="20"/>
              </w:rPr>
              <w:t>debt</w:t>
            </w:r>
            <w:r w:rsidRPr="003B0BE1">
              <w:rPr>
                <w:rFonts w:cs="Arial"/>
                <w:spacing w:val="-3"/>
                <w:sz w:val="20"/>
                <w:szCs w:val="20"/>
              </w:rPr>
              <w:t xml:space="preserve"> </w:t>
            </w:r>
            <w:r w:rsidRPr="003B0BE1">
              <w:rPr>
                <w:rFonts w:cs="Arial"/>
                <w:spacing w:val="-1"/>
                <w:sz w:val="20"/>
                <w:szCs w:val="20"/>
              </w:rPr>
              <w:t>issuance</w:t>
            </w:r>
            <w:r w:rsidRPr="003B0BE1">
              <w:rPr>
                <w:rFonts w:cs="Arial"/>
                <w:spacing w:val="-2"/>
                <w:sz w:val="20"/>
                <w:szCs w:val="20"/>
              </w:rPr>
              <w:t xml:space="preserve"> </w:t>
            </w:r>
            <w:r w:rsidRPr="003B0BE1">
              <w:rPr>
                <w:rFonts w:cs="Arial"/>
                <w:spacing w:val="-1"/>
                <w:sz w:val="20"/>
                <w:szCs w:val="20"/>
              </w:rPr>
              <w:t>costs</w:t>
            </w:r>
            <w:r w:rsidRPr="003B0BE1">
              <w:rPr>
                <w:rFonts w:cs="Arial"/>
                <w:spacing w:val="-4"/>
                <w:sz w:val="20"/>
                <w:szCs w:val="20"/>
              </w:rPr>
              <w:t xml:space="preserve"> </w:t>
            </w:r>
            <w:r w:rsidRPr="003B0BE1">
              <w:rPr>
                <w:rFonts w:cs="Arial"/>
                <w:spacing w:val="-1"/>
                <w:sz w:val="20"/>
                <w:szCs w:val="20"/>
              </w:rPr>
              <w:t>related</w:t>
            </w:r>
            <w:r w:rsidRPr="003B0BE1">
              <w:rPr>
                <w:rFonts w:cs="Arial"/>
                <w:spacing w:val="-3"/>
                <w:sz w:val="20"/>
                <w:szCs w:val="20"/>
              </w:rPr>
              <w:t xml:space="preserve"> </w:t>
            </w:r>
            <w:r w:rsidRPr="003B0BE1">
              <w:rPr>
                <w:rFonts w:cs="Arial"/>
                <w:spacing w:val="-1"/>
                <w:sz w:val="20"/>
                <w:szCs w:val="20"/>
              </w:rPr>
              <w:t>to</w:t>
            </w:r>
            <w:r w:rsidRPr="003B0BE1">
              <w:rPr>
                <w:rFonts w:cs="Arial"/>
                <w:spacing w:val="-4"/>
                <w:sz w:val="20"/>
                <w:szCs w:val="20"/>
              </w:rPr>
              <w:t xml:space="preserve"> </w:t>
            </w:r>
            <w:r w:rsidRPr="003B0BE1">
              <w:rPr>
                <w:rFonts w:cs="Arial"/>
                <w:sz w:val="20"/>
                <w:szCs w:val="20"/>
              </w:rPr>
              <w:t>a</w:t>
            </w:r>
            <w:r w:rsidRPr="003B0BE1">
              <w:rPr>
                <w:rFonts w:cs="Arial"/>
                <w:spacing w:val="-5"/>
                <w:sz w:val="20"/>
                <w:szCs w:val="20"/>
              </w:rPr>
              <w:t xml:space="preserve"> </w:t>
            </w:r>
            <w:r w:rsidRPr="003B0BE1">
              <w:rPr>
                <w:rFonts w:cs="Arial"/>
                <w:spacing w:val="-1"/>
                <w:sz w:val="20"/>
                <w:szCs w:val="20"/>
              </w:rPr>
              <w:t>recognized</w:t>
            </w:r>
            <w:r w:rsidRPr="003B0BE1">
              <w:rPr>
                <w:rFonts w:cs="Arial"/>
                <w:spacing w:val="-3"/>
                <w:sz w:val="20"/>
                <w:szCs w:val="20"/>
              </w:rPr>
              <w:t xml:space="preserve"> </w:t>
            </w:r>
            <w:r w:rsidRPr="003B0BE1">
              <w:rPr>
                <w:rFonts w:cs="Arial"/>
                <w:spacing w:val="-1"/>
                <w:sz w:val="20"/>
                <w:szCs w:val="20"/>
              </w:rPr>
              <w:t>debt</w:t>
            </w:r>
            <w:r w:rsidRPr="003B0BE1">
              <w:rPr>
                <w:rFonts w:cs="Arial"/>
                <w:spacing w:val="-4"/>
                <w:sz w:val="20"/>
                <w:szCs w:val="20"/>
              </w:rPr>
              <w:t xml:space="preserve"> </w:t>
            </w:r>
            <w:r w:rsidRPr="003B0BE1">
              <w:rPr>
                <w:rFonts w:cs="Arial"/>
                <w:spacing w:val="-1"/>
                <w:sz w:val="20"/>
                <w:szCs w:val="20"/>
              </w:rPr>
              <w:t>liability</w:t>
            </w:r>
            <w:r w:rsidRPr="003B0BE1">
              <w:rPr>
                <w:rFonts w:cs="Arial"/>
                <w:spacing w:val="-5"/>
                <w:sz w:val="20"/>
                <w:szCs w:val="20"/>
              </w:rPr>
              <w:t xml:space="preserve"> </w:t>
            </w:r>
            <w:r w:rsidRPr="003B0BE1">
              <w:rPr>
                <w:rFonts w:cs="Arial"/>
                <w:spacing w:val="-1"/>
                <w:sz w:val="20"/>
                <w:szCs w:val="20"/>
              </w:rPr>
              <w:t>be</w:t>
            </w:r>
            <w:r w:rsidRPr="003B0BE1">
              <w:rPr>
                <w:rFonts w:cs="Arial"/>
                <w:spacing w:val="-3"/>
                <w:sz w:val="20"/>
                <w:szCs w:val="20"/>
              </w:rPr>
              <w:t xml:space="preserve"> </w:t>
            </w:r>
            <w:r w:rsidRPr="003B0BE1">
              <w:rPr>
                <w:rFonts w:cs="Arial"/>
                <w:spacing w:val="-1"/>
                <w:sz w:val="20"/>
                <w:szCs w:val="20"/>
              </w:rPr>
              <w:t>presented</w:t>
            </w:r>
            <w:r w:rsidRPr="003B0BE1">
              <w:rPr>
                <w:rFonts w:cs="Arial"/>
                <w:spacing w:val="47"/>
                <w:sz w:val="20"/>
                <w:szCs w:val="20"/>
              </w:rPr>
              <w:t xml:space="preserve"> </w:t>
            </w:r>
            <w:r w:rsidRPr="003B0BE1">
              <w:rPr>
                <w:rFonts w:cs="Arial"/>
                <w:spacing w:val="-1"/>
                <w:sz w:val="20"/>
                <w:szCs w:val="20"/>
              </w:rPr>
              <w:t>in</w:t>
            </w:r>
            <w:r w:rsidRPr="003B0BE1">
              <w:rPr>
                <w:rFonts w:cs="Arial"/>
                <w:spacing w:val="9"/>
                <w:sz w:val="20"/>
                <w:szCs w:val="20"/>
              </w:rPr>
              <w:t xml:space="preserve"> </w:t>
            </w:r>
            <w:r w:rsidRPr="003B0BE1">
              <w:rPr>
                <w:rFonts w:cs="Arial"/>
                <w:spacing w:val="-1"/>
                <w:sz w:val="20"/>
                <w:szCs w:val="20"/>
              </w:rPr>
              <w:t>the</w:t>
            </w:r>
            <w:r w:rsidRPr="003B0BE1">
              <w:rPr>
                <w:rFonts w:cs="Arial"/>
                <w:spacing w:val="11"/>
                <w:sz w:val="20"/>
                <w:szCs w:val="20"/>
              </w:rPr>
              <w:t xml:space="preserve"> </w:t>
            </w:r>
            <w:r w:rsidRPr="003B0BE1">
              <w:rPr>
                <w:rFonts w:cs="Arial"/>
                <w:spacing w:val="-1"/>
                <w:sz w:val="20"/>
                <w:szCs w:val="20"/>
              </w:rPr>
              <w:t>balance</w:t>
            </w:r>
            <w:r w:rsidRPr="003B0BE1">
              <w:rPr>
                <w:rFonts w:cs="Arial"/>
                <w:spacing w:val="11"/>
                <w:sz w:val="20"/>
                <w:szCs w:val="20"/>
              </w:rPr>
              <w:t xml:space="preserve"> </w:t>
            </w:r>
            <w:r w:rsidRPr="003B0BE1">
              <w:rPr>
                <w:rFonts w:cs="Arial"/>
                <w:spacing w:val="-1"/>
                <w:sz w:val="20"/>
                <w:szCs w:val="20"/>
              </w:rPr>
              <w:t>sheet</w:t>
            </w:r>
            <w:r w:rsidRPr="003B0BE1">
              <w:rPr>
                <w:rFonts w:cs="Arial"/>
                <w:spacing w:val="10"/>
                <w:sz w:val="20"/>
                <w:szCs w:val="20"/>
              </w:rPr>
              <w:t xml:space="preserve"> </w:t>
            </w:r>
            <w:r w:rsidRPr="003B0BE1">
              <w:rPr>
                <w:rFonts w:cs="Arial"/>
                <w:spacing w:val="-1"/>
                <w:sz w:val="20"/>
                <w:szCs w:val="20"/>
              </w:rPr>
              <w:t>as</w:t>
            </w:r>
            <w:r w:rsidRPr="003B0BE1">
              <w:rPr>
                <w:rFonts w:cs="Arial"/>
                <w:spacing w:val="11"/>
                <w:sz w:val="20"/>
                <w:szCs w:val="20"/>
              </w:rPr>
              <w:t xml:space="preserve"> </w:t>
            </w:r>
            <w:r w:rsidRPr="003B0BE1">
              <w:rPr>
                <w:rFonts w:cs="Arial"/>
                <w:sz w:val="20"/>
                <w:szCs w:val="20"/>
              </w:rPr>
              <w:t>a</w:t>
            </w:r>
            <w:r w:rsidRPr="003B0BE1">
              <w:rPr>
                <w:rFonts w:cs="Arial"/>
                <w:spacing w:val="10"/>
                <w:sz w:val="20"/>
                <w:szCs w:val="20"/>
              </w:rPr>
              <w:t xml:space="preserve"> </w:t>
            </w:r>
            <w:r w:rsidRPr="003B0BE1">
              <w:rPr>
                <w:rFonts w:cs="Arial"/>
                <w:spacing w:val="-1"/>
                <w:sz w:val="20"/>
                <w:szCs w:val="20"/>
              </w:rPr>
              <w:t>direct</w:t>
            </w:r>
            <w:r w:rsidRPr="003B0BE1">
              <w:rPr>
                <w:rFonts w:cs="Arial"/>
                <w:spacing w:val="9"/>
                <w:sz w:val="20"/>
                <w:szCs w:val="20"/>
              </w:rPr>
              <w:t xml:space="preserve"> </w:t>
            </w:r>
            <w:r w:rsidRPr="003B0BE1">
              <w:rPr>
                <w:rFonts w:cs="Arial"/>
                <w:spacing w:val="-1"/>
                <w:sz w:val="20"/>
                <w:szCs w:val="20"/>
              </w:rPr>
              <w:t>deduction</w:t>
            </w:r>
            <w:r w:rsidRPr="003B0BE1">
              <w:rPr>
                <w:rFonts w:cs="Arial"/>
                <w:spacing w:val="10"/>
                <w:sz w:val="20"/>
                <w:szCs w:val="20"/>
              </w:rPr>
              <w:t xml:space="preserve"> </w:t>
            </w:r>
            <w:r w:rsidRPr="003B0BE1">
              <w:rPr>
                <w:rFonts w:cs="Arial"/>
                <w:spacing w:val="-1"/>
                <w:sz w:val="20"/>
                <w:szCs w:val="20"/>
              </w:rPr>
              <w:t>from</w:t>
            </w:r>
            <w:r w:rsidRPr="003B0BE1">
              <w:rPr>
                <w:rFonts w:cs="Arial"/>
                <w:spacing w:val="10"/>
                <w:sz w:val="20"/>
                <w:szCs w:val="20"/>
              </w:rPr>
              <w:t xml:space="preserve"> </w:t>
            </w:r>
            <w:r w:rsidRPr="003B0BE1">
              <w:rPr>
                <w:rFonts w:cs="Arial"/>
                <w:spacing w:val="-1"/>
                <w:sz w:val="20"/>
                <w:szCs w:val="20"/>
              </w:rPr>
              <w:t>the</w:t>
            </w:r>
            <w:r w:rsidRPr="003B0BE1">
              <w:rPr>
                <w:rFonts w:cs="Arial"/>
                <w:spacing w:val="10"/>
                <w:sz w:val="20"/>
                <w:szCs w:val="20"/>
              </w:rPr>
              <w:t xml:space="preserve"> </w:t>
            </w:r>
            <w:r w:rsidRPr="003B0BE1">
              <w:rPr>
                <w:rFonts w:cs="Arial"/>
                <w:spacing w:val="-1"/>
                <w:sz w:val="20"/>
                <w:szCs w:val="20"/>
              </w:rPr>
              <w:t>carrying</w:t>
            </w:r>
            <w:r w:rsidRPr="003B0BE1">
              <w:rPr>
                <w:rFonts w:cs="Arial"/>
                <w:spacing w:val="9"/>
                <w:sz w:val="20"/>
                <w:szCs w:val="20"/>
              </w:rPr>
              <w:t xml:space="preserve"> </w:t>
            </w:r>
            <w:r w:rsidRPr="003B0BE1">
              <w:rPr>
                <w:rFonts w:cs="Arial"/>
                <w:spacing w:val="-1"/>
                <w:sz w:val="20"/>
                <w:szCs w:val="20"/>
              </w:rPr>
              <w:t>amount</w:t>
            </w:r>
            <w:r w:rsidRPr="003B0BE1">
              <w:rPr>
                <w:rFonts w:cs="Arial"/>
                <w:spacing w:val="11"/>
                <w:sz w:val="20"/>
                <w:szCs w:val="20"/>
              </w:rPr>
              <w:t xml:space="preserve"> </w:t>
            </w:r>
            <w:r w:rsidRPr="003B0BE1">
              <w:rPr>
                <w:rFonts w:cs="Arial"/>
                <w:spacing w:val="-1"/>
                <w:sz w:val="20"/>
                <w:szCs w:val="20"/>
              </w:rPr>
              <w:t>of</w:t>
            </w:r>
            <w:r w:rsidRPr="003B0BE1">
              <w:rPr>
                <w:rFonts w:cs="Arial"/>
                <w:spacing w:val="11"/>
                <w:sz w:val="20"/>
                <w:szCs w:val="20"/>
              </w:rPr>
              <w:t xml:space="preserve"> </w:t>
            </w:r>
            <w:r w:rsidRPr="003B0BE1">
              <w:rPr>
                <w:rFonts w:cs="Arial"/>
                <w:spacing w:val="-1"/>
                <w:sz w:val="20"/>
                <w:szCs w:val="20"/>
              </w:rPr>
              <w:t>that</w:t>
            </w:r>
            <w:r w:rsidRPr="003B0BE1">
              <w:rPr>
                <w:rFonts w:cs="Arial"/>
                <w:spacing w:val="10"/>
                <w:sz w:val="20"/>
                <w:szCs w:val="20"/>
              </w:rPr>
              <w:t xml:space="preserve"> </w:t>
            </w:r>
            <w:r w:rsidRPr="003B0BE1">
              <w:rPr>
                <w:rFonts w:cs="Arial"/>
                <w:spacing w:val="-1"/>
                <w:sz w:val="20"/>
                <w:szCs w:val="20"/>
              </w:rPr>
              <w:t>debt</w:t>
            </w:r>
            <w:r w:rsidRPr="003B0BE1">
              <w:rPr>
                <w:rFonts w:cs="Arial"/>
                <w:spacing w:val="56"/>
                <w:sz w:val="20"/>
                <w:szCs w:val="20"/>
              </w:rPr>
              <w:t xml:space="preserve"> </w:t>
            </w:r>
            <w:r w:rsidRPr="003B0BE1">
              <w:rPr>
                <w:rFonts w:cs="Arial"/>
                <w:spacing w:val="-1"/>
                <w:sz w:val="20"/>
                <w:szCs w:val="20"/>
              </w:rPr>
              <w:t xml:space="preserve">liability, consistent with debt discounts. </w:t>
            </w:r>
            <w:r>
              <w:rPr>
                <w:rFonts w:cs="Arial"/>
                <w:spacing w:val="-1"/>
                <w:sz w:val="20"/>
                <w:szCs w:val="20"/>
              </w:rPr>
              <w:t>Note that t</w:t>
            </w:r>
            <w:r w:rsidRPr="003B0BE1">
              <w:rPr>
                <w:rFonts w:cs="Arial"/>
                <w:spacing w:val="-1"/>
                <w:sz w:val="20"/>
                <w:szCs w:val="20"/>
              </w:rPr>
              <w:t>he recognition and measurement guidance</w:t>
            </w:r>
            <w:r w:rsidRPr="003B0BE1">
              <w:rPr>
                <w:rFonts w:cs="Arial"/>
                <w:spacing w:val="32"/>
                <w:sz w:val="20"/>
                <w:szCs w:val="20"/>
              </w:rPr>
              <w:t xml:space="preserve"> </w:t>
            </w:r>
            <w:r w:rsidRPr="003B0BE1">
              <w:rPr>
                <w:rFonts w:cs="Arial"/>
                <w:spacing w:val="-1"/>
                <w:sz w:val="20"/>
                <w:szCs w:val="20"/>
              </w:rPr>
              <w:t>for debt issuance costs was not changed.</w:t>
            </w:r>
          </w:p>
          <w:p w:rsidR="009F0B9B" w:rsidRPr="00F430C4" w:rsidRDefault="009F0B9B" w:rsidP="009F0B9B">
            <w:pPr>
              <w:kinsoku w:val="0"/>
              <w:overflowPunct w:val="0"/>
              <w:autoSpaceDE w:val="0"/>
              <w:autoSpaceDN w:val="0"/>
              <w:adjustRightInd w:val="0"/>
              <w:spacing w:before="119"/>
              <w:ind w:left="40" w:right="118"/>
              <w:rPr>
                <w:rFonts w:ascii="Arial" w:eastAsia="Times New Roman" w:hAnsi="Arial" w:cs="Arial"/>
                <w:b/>
                <w:sz w:val="18"/>
                <w:szCs w:val="18"/>
              </w:rPr>
            </w:pPr>
          </w:p>
        </w:tc>
      </w:tr>
    </w:tbl>
    <w:p w:rsidR="0083626C" w:rsidRDefault="0083626C"/>
    <w:tbl>
      <w:tblPr>
        <w:tblStyle w:val="TableGrid"/>
        <w:tblW w:w="0" w:type="auto"/>
        <w:tblLook w:val="04A0" w:firstRow="1" w:lastRow="0" w:firstColumn="1" w:lastColumn="0" w:noHBand="0" w:noVBand="1"/>
      </w:tblPr>
      <w:tblGrid>
        <w:gridCol w:w="9350"/>
      </w:tblGrid>
      <w:tr w:rsidR="009F0B9B" w:rsidTr="0082715A">
        <w:tc>
          <w:tcPr>
            <w:tcW w:w="9350" w:type="dxa"/>
          </w:tcPr>
          <w:p w:rsidR="009F0B9B" w:rsidRDefault="009F0B9B" w:rsidP="0082715A">
            <w:pPr>
              <w:kinsoku w:val="0"/>
              <w:overflowPunct w:val="0"/>
              <w:autoSpaceDE w:val="0"/>
              <w:autoSpaceDN w:val="0"/>
              <w:adjustRightInd w:val="0"/>
              <w:spacing w:line="184" w:lineRule="exact"/>
              <w:ind w:left="40"/>
              <w:jc w:val="both"/>
              <w:rPr>
                <w:rFonts w:cs="Arial"/>
                <w:b/>
                <w:sz w:val="20"/>
                <w:szCs w:val="20"/>
              </w:rPr>
            </w:pPr>
          </w:p>
          <w:p w:rsidR="009F0B9B" w:rsidRPr="003B0BE1" w:rsidRDefault="009F0B9B" w:rsidP="0082715A">
            <w:pPr>
              <w:kinsoku w:val="0"/>
              <w:overflowPunct w:val="0"/>
              <w:autoSpaceDE w:val="0"/>
              <w:autoSpaceDN w:val="0"/>
              <w:adjustRightInd w:val="0"/>
              <w:spacing w:line="184" w:lineRule="exact"/>
              <w:ind w:left="40"/>
              <w:jc w:val="both"/>
              <w:rPr>
                <w:rFonts w:cs="Arial"/>
                <w:sz w:val="20"/>
                <w:szCs w:val="20"/>
              </w:rPr>
            </w:pPr>
            <w:r w:rsidRPr="003B0BE1">
              <w:rPr>
                <w:rFonts w:cs="Arial"/>
                <w:b/>
                <w:sz w:val="20"/>
                <w:szCs w:val="20"/>
              </w:rPr>
              <w:t>ASU No. 2015-0</w:t>
            </w:r>
            <w:r>
              <w:rPr>
                <w:rFonts w:cs="Arial"/>
                <w:b/>
                <w:sz w:val="20"/>
                <w:szCs w:val="20"/>
              </w:rPr>
              <w:t>4</w:t>
            </w:r>
            <w:r w:rsidRPr="003B0BE1">
              <w:rPr>
                <w:rFonts w:cs="Arial"/>
                <w:b/>
                <w:sz w:val="20"/>
                <w:szCs w:val="20"/>
              </w:rPr>
              <w:t xml:space="preserve">, </w:t>
            </w:r>
            <w:r>
              <w:rPr>
                <w:rFonts w:cs="Arial"/>
                <w:b/>
                <w:i/>
                <w:sz w:val="20"/>
                <w:szCs w:val="20"/>
              </w:rPr>
              <w:t>Compensation – Retirement Benefits (Topic 715): Practical Expedient for the Measurement Date of an Employer’s Defined Benefit Obligation and Plan Assets</w:t>
            </w:r>
          </w:p>
          <w:p w:rsidR="009F0B9B" w:rsidRPr="003B0BE1" w:rsidRDefault="009F0B9B" w:rsidP="0082715A">
            <w:pPr>
              <w:kinsoku w:val="0"/>
              <w:overflowPunct w:val="0"/>
              <w:autoSpaceDE w:val="0"/>
              <w:autoSpaceDN w:val="0"/>
              <w:adjustRightInd w:val="0"/>
              <w:spacing w:line="184" w:lineRule="exact"/>
              <w:ind w:left="40"/>
              <w:jc w:val="both"/>
              <w:rPr>
                <w:rFonts w:cs="Arial"/>
                <w:sz w:val="20"/>
                <w:szCs w:val="20"/>
              </w:rPr>
            </w:pPr>
          </w:p>
          <w:p w:rsidR="009F0B9B" w:rsidRPr="009F0B9B" w:rsidRDefault="009F0B9B" w:rsidP="009F0B9B">
            <w:pPr>
              <w:kinsoku w:val="0"/>
              <w:overflowPunct w:val="0"/>
              <w:autoSpaceDE w:val="0"/>
              <w:autoSpaceDN w:val="0"/>
              <w:adjustRightInd w:val="0"/>
              <w:spacing w:before="119"/>
              <w:ind w:left="40" w:right="118"/>
              <w:rPr>
                <w:rFonts w:cs="Arial"/>
                <w:spacing w:val="-1"/>
                <w:sz w:val="20"/>
                <w:szCs w:val="20"/>
              </w:rPr>
            </w:pPr>
            <w:r>
              <w:rPr>
                <w:rFonts w:cs="Arial"/>
                <w:spacing w:val="-1"/>
                <w:sz w:val="20"/>
                <w:szCs w:val="20"/>
              </w:rPr>
              <w:t>Prior to this standard, a</w:t>
            </w:r>
            <w:r w:rsidRPr="009F0B9B">
              <w:rPr>
                <w:rFonts w:cs="Arial"/>
                <w:spacing w:val="-1"/>
                <w:sz w:val="20"/>
                <w:szCs w:val="20"/>
              </w:rPr>
              <w:t xml:space="preserve"> reporting entity with a fiscal year-end that </w:t>
            </w:r>
            <w:r>
              <w:rPr>
                <w:rFonts w:cs="Arial"/>
                <w:spacing w:val="-1"/>
                <w:sz w:val="20"/>
                <w:szCs w:val="20"/>
              </w:rPr>
              <w:t>did</w:t>
            </w:r>
            <w:r w:rsidRPr="009F0B9B">
              <w:rPr>
                <w:rFonts w:cs="Arial"/>
                <w:spacing w:val="-1"/>
                <w:sz w:val="20"/>
                <w:szCs w:val="20"/>
              </w:rPr>
              <w:t xml:space="preserve"> not </w:t>
            </w:r>
            <w:r>
              <w:rPr>
                <w:rFonts w:cs="Arial"/>
                <w:spacing w:val="-1"/>
                <w:sz w:val="20"/>
                <w:szCs w:val="20"/>
              </w:rPr>
              <w:t>match</w:t>
            </w:r>
            <w:r w:rsidRPr="009F0B9B">
              <w:rPr>
                <w:rFonts w:cs="Arial"/>
                <w:spacing w:val="-1"/>
                <w:sz w:val="20"/>
                <w:szCs w:val="20"/>
              </w:rPr>
              <w:t xml:space="preserve"> a month-end</w:t>
            </w:r>
            <w:r>
              <w:rPr>
                <w:rFonts w:cs="Arial"/>
                <w:spacing w:val="-1"/>
                <w:sz w:val="20"/>
                <w:szCs w:val="20"/>
              </w:rPr>
              <w:t xml:space="preserve"> might</w:t>
            </w:r>
            <w:r w:rsidRPr="009F0B9B">
              <w:rPr>
                <w:rFonts w:cs="Arial"/>
                <w:spacing w:val="-1"/>
                <w:sz w:val="20"/>
                <w:szCs w:val="20"/>
              </w:rPr>
              <w:t xml:space="preserve"> incur more costs than other entities when measuring the fair value of plan assets of </w:t>
            </w:r>
            <w:r>
              <w:rPr>
                <w:rFonts w:cs="Arial"/>
                <w:spacing w:val="-1"/>
                <w:sz w:val="20"/>
                <w:szCs w:val="20"/>
              </w:rPr>
              <w:t>benefit plans.</w:t>
            </w:r>
            <w:r w:rsidRPr="009F0B9B">
              <w:rPr>
                <w:rFonts w:cs="Arial"/>
                <w:spacing w:val="-1"/>
                <w:sz w:val="20"/>
                <w:szCs w:val="20"/>
              </w:rPr>
              <w:t xml:space="preserve"> This </w:t>
            </w:r>
            <w:r>
              <w:rPr>
                <w:rFonts w:cs="Arial"/>
                <w:spacing w:val="-1"/>
                <w:sz w:val="20"/>
                <w:szCs w:val="20"/>
              </w:rPr>
              <w:t>wa</w:t>
            </w:r>
            <w:r w:rsidRPr="009F0B9B">
              <w:rPr>
                <w:rFonts w:cs="Arial"/>
                <w:spacing w:val="-1"/>
                <w:sz w:val="20"/>
                <w:szCs w:val="20"/>
              </w:rPr>
              <w:t xml:space="preserve">s because third-party service provider information about the fair value of plan assets </w:t>
            </w:r>
            <w:r>
              <w:rPr>
                <w:rFonts w:cs="Arial"/>
                <w:spacing w:val="-1"/>
                <w:sz w:val="20"/>
                <w:szCs w:val="20"/>
              </w:rPr>
              <w:t xml:space="preserve">is usually </w:t>
            </w:r>
            <w:r w:rsidRPr="009F0B9B">
              <w:rPr>
                <w:rFonts w:cs="Arial"/>
                <w:spacing w:val="-1"/>
                <w:sz w:val="20"/>
                <w:szCs w:val="20"/>
              </w:rPr>
              <w:t>reported as of month-end. That information then is adjusted to reflect the fair value of plan assets as of fiscal year-end.</w:t>
            </w:r>
          </w:p>
          <w:p w:rsidR="009F0B9B" w:rsidRDefault="009F0B9B" w:rsidP="009F0B9B">
            <w:pPr>
              <w:kinsoku w:val="0"/>
              <w:overflowPunct w:val="0"/>
              <w:autoSpaceDE w:val="0"/>
              <w:autoSpaceDN w:val="0"/>
              <w:adjustRightInd w:val="0"/>
              <w:spacing w:before="119"/>
              <w:ind w:left="40" w:right="118"/>
              <w:rPr>
                <w:rFonts w:cs="Arial"/>
                <w:spacing w:val="-1"/>
                <w:sz w:val="20"/>
                <w:szCs w:val="20"/>
              </w:rPr>
            </w:pPr>
            <w:r w:rsidRPr="009F0B9B">
              <w:rPr>
                <w:rFonts w:cs="Arial"/>
                <w:spacing w:val="-1"/>
                <w:sz w:val="20"/>
                <w:szCs w:val="20"/>
              </w:rPr>
              <w:t xml:space="preserve">For </w:t>
            </w:r>
            <w:r w:rsidR="00011CAE">
              <w:rPr>
                <w:rFonts w:cs="Arial"/>
                <w:spacing w:val="-1"/>
                <w:sz w:val="20"/>
                <w:szCs w:val="20"/>
              </w:rPr>
              <w:t xml:space="preserve">these entities, </w:t>
            </w:r>
            <w:r w:rsidRPr="009F0B9B">
              <w:rPr>
                <w:rFonts w:cs="Arial"/>
                <w:spacing w:val="-1"/>
                <w:sz w:val="20"/>
                <w:szCs w:val="20"/>
              </w:rPr>
              <w:t>this Update provide</w:t>
            </w:r>
            <w:r w:rsidR="00011CAE">
              <w:rPr>
                <w:rFonts w:cs="Arial"/>
                <w:spacing w:val="-1"/>
                <w:sz w:val="20"/>
                <w:szCs w:val="20"/>
              </w:rPr>
              <w:t>s</w:t>
            </w:r>
            <w:r w:rsidRPr="009F0B9B">
              <w:rPr>
                <w:rFonts w:cs="Arial"/>
                <w:spacing w:val="-1"/>
                <w:sz w:val="20"/>
                <w:szCs w:val="20"/>
              </w:rPr>
              <w:t xml:space="preserve"> a practical expedient that permits the entity to measure defined benefit plan assets and obligations using the month-end that is closest to the entity’s fiscal year-end</w:t>
            </w:r>
            <w:r w:rsidR="00011CAE">
              <w:rPr>
                <w:rFonts w:cs="Arial"/>
                <w:spacing w:val="-1"/>
                <w:sz w:val="20"/>
                <w:szCs w:val="20"/>
              </w:rPr>
              <w:t xml:space="preserve">. </w:t>
            </w:r>
          </w:p>
          <w:p w:rsidR="009F0B9B" w:rsidRPr="009F0B9B" w:rsidRDefault="009F0B9B" w:rsidP="009F0B9B">
            <w:pPr>
              <w:kinsoku w:val="0"/>
              <w:overflowPunct w:val="0"/>
              <w:autoSpaceDE w:val="0"/>
              <w:autoSpaceDN w:val="0"/>
              <w:adjustRightInd w:val="0"/>
              <w:spacing w:before="119"/>
              <w:ind w:left="40" w:right="118"/>
              <w:rPr>
                <w:rFonts w:cs="Arial"/>
                <w:spacing w:val="-1"/>
                <w:sz w:val="20"/>
                <w:szCs w:val="20"/>
              </w:rPr>
            </w:pPr>
            <w:r w:rsidRPr="009F0B9B">
              <w:rPr>
                <w:rFonts w:cs="Arial"/>
                <w:spacing w:val="-1"/>
                <w:sz w:val="20"/>
                <w:szCs w:val="20"/>
              </w:rPr>
              <w:t xml:space="preserve">An entity is required to disclose the accounting policy election and the date used to measure defined benefit plan assets and obligations. </w:t>
            </w:r>
            <w:r w:rsidR="00011CAE">
              <w:rPr>
                <w:rFonts w:cs="Arial"/>
                <w:spacing w:val="-1"/>
                <w:sz w:val="20"/>
                <w:szCs w:val="20"/>
              </w:rPr>
              <w:t>Note that e</w:t>
            </w:r>
            <w:r w:rsidRPr="009F0B9B">
              <w:rPr>
                <w:rFonts w:cs="Arial"/>
                <w:spacing w:val="-1"/>
                <w:sz w:val="20"/>
                <w:szCs w:val="20"/>
              </w:rPr>
              <w:t>mployee benefit plans are not within the scope of the amendments in this Update.</w:t>
            </w:r>
          </w:p>
          <w:p w:rsidR="009F0B9B" w:rsidRPr="00F430C4" w:rsidRDefault="009F0B9B" w:rsidP="009F0B9B">
            <w:pPr>
              <w:kinsoku w:val="0"/>
              <w:overflowPunct w:val="0"/>
              <w:autoSpaceDE w:val="0"/>
              <w:autoSpaceDN w:val="0"/>
              <w:adjustRightInd w:val="0"/>
              <w:spacing w:before="119"/>
              <w:ind w:left="40" w:right="118"/>
              <w:rPr>
                <w:rFonts w:ascii="Arial" w:eastAsia="Times New Roman" w:hAnsi="Arial" w:cs="Arial"/>
                <w:b/>
                <w:sz w:val="18"/>
                <w:szCs w:val="18"/>
              </w:rPr>
            </w:pPr>
          </w:p>
        </w:tc>
      </w:tr>
    </w:tbl>
    <w:p w:rsidR="009F0B9B" w:rsidRDefault="009F0B9B"/>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AB15C1" w:rsidTr="00AC4623">
        <w:tc>
          <w:tcPr>
            <w:tcW w:w="9350" w:type="dxa"/>
          </w:tcPr>
          <w:p w:rsidR="00AB15C1" w:rsidRDefault="00AB15C1" w:rsidP="0082715A">
            <w:pPr>
              <w:kinsoku w:val="0"/>
              <w:overflowPunct w:val="0"/>
              <w:autoSpaceDE w:val="0"/>
              <w:autoSpaceDN w:val="0"/>
              <w:adjustRightInd w:val="0"/>
              <w:spacing w:line="184" w:lineRule="exact"/>
              <w:ind w:left="40"/>
              <w:jc w:val="both"/>
              <w:rPr>
                <w:rFonts w:cs="Arial"/>
                <w:b/>
                <w:sz w:val="20"/>
                <w:szCs w:val="20"/>
              </w:rPr>
            </w:pPr>
          </w:p>
          <w:p w:rsidR="00AB15C1" w:rsidRPr="00AB15C1" w:rsidRDefault="00AB15C1" w:rsidP="00AB15C1">
            <w:pPr>
              <w:kinsoku w:val="0"/>
              <w:overflowPunct w:val="0"/>
              <w:autoSpaceDE w:val="0"/>
              <w:autoSpaceDN w:val="0"/>
              <w:adjustRightInd w:val="0"/>
              <w:spacing w:line="184" w:lineRule="exact"/>
              <w:ind w:left="40"/>
              <w:jc w:val="both"/>
              <w:rPr>
                <w:rFonts w:cs="Arial"/>
                <w:b/>
                <w:sz w:val="20"/>
                <w:szCs w:val="20"/>
              </w:rPr>
            </w:pPr>
            <w:r w:rsidRPr="00AB15C1">
              <w:rPr>
                <w:rFonts w:cs="Arial"/>
                <w:b/>
                <w:sz w:val="20"/>
                <w:szCs w:val="20"/>
              </w:rPr>
              <w:t xml:space="preserve">ASU No. 2015-05, </w:t>
            </w:r>
            <w:r w:rsidRPr="00AB15C1">
              <w:rPr>
                <w:rFonts w:cs="Arial"/>
                <w:b/>
                <w:i/>
                <w:sz w:val="20"/>
                <w:szCs w:val="20"/>
              </w:rPr>
              <w:t>Intangibles – Goodwill and Other – Internal Use Software (Subtopic 350-40)</w:t>
            </w:r>
          </w:p>
          <w:p w:rsidR="00AB15C1" w:rsidRPr="003B0BE1" w:rsidRDefault="00AB15C1" w:rsidP="0082715A">
            <w:pPr>
              <w:kinsoku w:val="0"/>
              <w:overflowPunct w:val="0"/>
              <w:autoSpaceDE w:val="0"/>
              <w:autoSpaceDN w:val="0"/>
              <w:adjustRightInd w:val="0"/>
              <w:spacing w:line="184" w:lineRule="exact"/>
              <w:ind w:left="40"/>
              <w:jc w:val="both"/>
              <w:rPr>
                <w:rFonts w:cs="Arial"/>
                <w:sz w:val="20"/>
                <w:szCs w:val="20"/>
              </w:rPr>
            </w:pPr>
          </w:p>
          <w:p w:rsidR="00AB15C1" w:rsidRPr="00AB15C1" w:rsidRDefault="00AB15C1" w:rsidP="00AB15C1">
            <w:pPr>
              <w:kinsoku w:val="0"/>
              <w:overflowPunct w:val="0"/>
              <w:autoSpaceDE w:val="0"/>
              <w:autoSpaceDN w:val="0"/>
              <w:adjustRightInd w:val="0"/>
              <w:spacing w:before="119"/>
              <w:ind w:left="40" w:right="118"/>
              <w:rPr>
                <w:rFonts w:cs="Arial"/>
                <w:spacing w:val="-1"/>
                <w:sz w:val="20"/>
                <w:szCs w:val="20"/>
              </w:rPr>
            </w:pPr>
            <w:r w:rsidRPr="00AB15C1">
              <w:rPr>
                <w:rFonts w:cs="Arial"/>
                <w:spacing w:val="-1"/>
                <w:sz w:val="20"/>
                <w:szCs w:val="20"/>
              </w:rPr>
              <w:t xml:space="preserve">Prior to this standard, GAAP does not include any explicit guidance about a customer’s accounting for fees paid in a cloud computing arrangement. Examples of cloud computing arrangements include software as a service, platform as a service, infrastructure as a service, and other similar hosting arrangements. </w:t>
            </w:r>
          </w:p>
          <w:p w:rsidR="00AB15C1" w:rsidRPr="00AB15C1" w:rsidRDefault="00AB15C1" w:rsidP="00AB15C1">
            <w:pPr>
              <w:kinsoku w:val="0"/>
              <w:overflowPunct w:val="0"/>
              <w:autoSpaceDE w:val="0"/>
              <w:autoSpaceDN w:val="0"/>
              <w:adjustRightInd w:val="0"/>
              <w:spacing w:before="119"/>
              <w:ind w:left="40" w:right="118"/>
              <w:rPr>
                <w:rFonts w:cs="Arial"/>
                <w:spacing w:val="-1"/>
                <w:sz w:val="20"/>
                <w:szCs w:val="20"/>
              </w:rPr>
            </w:pPr>
            <w:r w:rsidRPr="00AB15C1">
              <w:rPr>
                <w:rFonts w:cs="Arial"/>
                <w:spacing w:val="-1"/>
                <w:sz w:val="20"/>
                <w:szCs w:val="20"/>
              </w:rPr>
              <w:t>This Update provides guidance to customers about whether a cloud computing arrangement includes a software license. If it does, then the customer should account for the software license element of the arrangement consistent with the acquisition of other software licenses. If it does not, then the customer should account for the arrangement as a service contract. Now all software licenses within the scope of Subtopic 350-</w:t>
            </w:r>
            <w:r w:rsidRPr="00AB15C1">
              <w:rPr>
                <w:rFonts w:cs="Arial"/>
                <w:spacing w:val="-1"/>
                <w:sz w:val="20"/>
                <w:szCs w:val="20"/>
              </w:rPr>
              <w:lastRenderedPageBreak/>
              <w:t>40 will be accounted for consistent with other licenses of intangible assets. Note that this guidance does not change GAAP for a customer’s accounting for service contracts.</w:t>
            </w:r>
          </w:p>
          <w:p w:rsidR="00AB15C1" w:rsidRPr="00F430C4" w:rsidRDefault="00AB15C1" w:rsidP="0082715A">
            <w:pPr>
              <w:kinsoku w:val="0"/>
              <w:overflowPunct w:val="0"/>
              <w:autoSpaceDE w:val="0"/>
              <w:autoSpaceDN w:val="0"/>
              <w:adjustRightInd w:val="0"/>
              <w:spacing w:before="119"/>
              <w:ind w:left="40" w:right="118"/>
              <w:rPr>
                <w:rFonts w:ascii="Arial" w:eastAsia="Times New Roman" w:hAnsi="Arial" w:cs="Arial"/>
                <w:b/>
                <w:sz w:val="18"/>
                <w:szCs w:val="18"/>
              </w:rPr>
            </w:pPr>
          </w:p>
        </w:tc>
      </w:tr>
      <w:tr w:rsidR="00554C6C" w:rsidTr="0082715A">
        <w:tc>
          <w:tcPr>
            <w:tcW w:w="9350" w:type="dxa"/>
          </w:tcPr>
          <w:p w:rsidR="00554C6C" w:rsidRDefault="00554C6C" w:rsidP="0082715A">
            <w:pPr>
              <w:kinsoku w:val="0"/>
              <w:overflowPunct w:val="0"/>
              <w:autoSpaceDE w:val="0"/>
              <w:autoSpaceDN w:val="0"/>
              <w:adjustRightInd w:val="0"/>
              <w:spacing w:line="184" w:lineRule="exact"/>
              <w:ind w:left="40"/>
              <w:jc w:val="both"/>
              <w:rPr>
                <w:rFonts w:cs="Arial"/>
                <w:b/>
                <w:sz w:val="20"/>
                <w:szCs w:val="20"/>
              </w:rPr>
            </w:pPr>
          </w:p>
          <w:p w:rsidR="003919D8" w:rsidRDefault="003919D8" w:rsidP="0082715A">
            <w:pPr>
              <w:kinsoku w:val="0"/>
              <w:overflowPunct w:val="0"/>
              <w:autoSpaceDE w:val="0"/>
              <w:autoSpaceDN w:val="0"/>
              <w:adjustRightInd w:val="0"/>
              <w:spacing w:line="184" w:lineRule="exact"/>
              <w:ind w:left="40"/>
              <w:jc w:val="both"/>
              <w:rPr>
                <w:rFonts w:cs="Arial"/>
                <w:b/>
                <w:sz w:val="20"/>
                <w:szCs w:val="20"/>
              </w:rPr>
            </w:pPr>
          </w:p>
          <w:p w:rsidR="00554C6C" w:rsidRPr="00AB15C1" w:rsidRDefault="00554C6C" w:rsidP="0082715A">
            <w:pPr>
              <w:kinsoku w:val="0"/>
              <w:overflowPunct w:val="0"/>
              <w:autoSpaceDE w:val="0"/>
              <w:autoSpaceDN w:val="0"/>
              <w:adjustRightInd w:val="0"/>
              <w:spacing w:line="184" w:lineRule="exact"/>
              <w:ind w:left="40"/>
              <w:jc w:val="both"/>
              <w:rPr>
                <w:rFonts w:cs="Arial"/>
                <w:b/>
                <w:sz w:val="20"/>
                <w:szCs w:val="20"/>
              </w:rPr>
            </w:pPr>
            <w:r w:rsidRPr="00AB15C1">
              <w:rPr>
                <w:rFonts w:cs="Arial"/>
                <w:b/>
                <w:sz w:val="20"/>
                <w:szCs w:val="20"/>
              </w:rPr>
              <w:t>ASU No. 2015-0</w:t>
            </w:r>
            <w:r>
              <w:rPr>
                <w:rFonts w:cs="Arial"/>
                <w:b/>
                <w:sz w:val="20"/>
                <w:szCs w:val="20"/>
              </w:rPr>
              <w:t>7</w:t>
            </w:r>
            <w:r w:rsidRPr="00AB15C1">
              <w:rPr>
                <w:rFonts w:cs="Arial"/>
                <w:b/>
                <w:sz w:val="20"/>
                <w:szCs w:val="20"/>
              </w:rPr>
              <w:t xml:space="preserve">, </w:t>
            </w:r>
            <w:r>
              <w:rPr>
                <w:rFonts w:cs="Arial"/>
                <w:b/>
                <w:i/>
                <w:sz w:val="20"/>
                <w:szCs w:val="20"/>
              </w:rPr>
              <w:t>Fair Value Measurements (Topic 820): Disclosures for Certain Entities</w:t>
            </w:r>
          </w:p>
          <w:p w:rsidR="00554C6C" w:rsidRPr="003B0BE1" w:rsidRDefault="00554C6C" w:rsidP="0082715A">
            <w:pPr>
              <w:kinsoku w:val="0"/>
              <w:overflowPunct w:val="0"/>
              <w:autoSpaceDE w:val="0"/>
              <w:autoSpaceDN w:val="0"/>
              <w:adjustRightInd w:val="0"/>
              <w:spacing w:line="184" w:lineRule="exact"/>
              <w:ind w:left="40"/>
              <w:jc w:val="both"/>
              <w:rPr>
                <w:rFonts w:cs="Arial"/>
                <w:sz w:val="20"/>
                <w:szCs w:val="20"/>
              </w:rPr>
            </w:pPr>
          </w:p>
          <w:p w:rsidR="00554C6C" w:rsidRPr="00554C6C" w:rsidRDefault="00554C6C" w:rsidP="00554C6C">
            <w:pPr>
              <w:kinsoku w:val="0"/>
              <w:overflowPunct w:val="0"/>
              <w:autoSpaceDE w:val="0"/>
              <w:autoSpaceDN w:val="0"/>
              <w:adjustRightInd w:val="0"/>
              <w:spacing w:before="119"/>
              <w:ind w:left="40" w:right="118"/>
              <w:rPr>
                <w:rFonts w:cs="Arial"/>
                <w:spacing w:val="-1"/>
                <w:sz w:val="20"/>
                <w:szCs w:val="20"/>
              </w:rPr>
            </w:pPr>
            <w:r w:rsidRPr="00554C6C">
              <w:rPr>
                <w:rFonts w:cs="Arial"/>
                <w:spacing w:val="-1"/>
                <w:sz w:val="20"/>
                <w:szCs w:val="20"/>
              </w:rPr>
              <w:t xml:space="preserve">Prior to the issuance of </w:t>
            </w:r>
            <w:r>
              <w:rPr>
                <w:rFonts w:cs="Arial"/>
                <w:spacing w:val="-1"/>
                <w:sz w:val="20"/>
                <w:szCs w:val="20"/>
              </w:rPr>
              <w:t>this standard</w:t>
            </w:r>
            <w:r w:rsidRPr="00554C6C">
              <w:rPr>
                <w:rFonts w:cs="Arial"/>
                <w:spacing w:val="-1"/>
                <w:sz w:val="20"/>
                <w:szCs w:val="20"/>
              </w:rPr>
              <w:t xml:space="preserve">, GAAP required that investments for which fair value is measured at net asset value using the practical expedient provided in Topic 820 be categorized within the fair value hierarchy using criteria that differs from the criteria used to categorize other fair value measurements within the hierarchy. </w:t>
            </w:r>
          </w:p>
          <w:p w:rsidR="00554C6C" w:rsidRPr="00554C6C" w:rsidRDefault="00554C6C" w:rsidP="00554C6C">
            <w:pPr>
              <w:kinsoku w:val="0"/>
              <w:overflowPunct w:val="0"/>
              <w:autoSpaceDE w:val="0"/>
              <w:autoSpaceDN w:val="0"/>
              <w:adjustRightInd w:val="0"/>
              <w:spacing w:before="119"/>
              <w:ind w:left="40" w:right="118"/>
              <w:rPr>
                <w:rFonts w:cs="Arial"/>
                <w:spacing w:val="-1"/>
                <w:sz w:val="20"/>
                <w:szCs w:val="20"/>
              </w:rPr>
            </w:pPr>
            <w:r w:rsidRPr="00554C6C">
              <w:rPr>
                <w:rFonts w:cs="Arial"/>
                <w:spacing w:val="-1"/>
                <w:sz w:val="20"/>
                <w:szCs w:val="20"/>
              </w:rPr>
              <w:t>ASU 2015-07 eliminated this requirement, ensuring that all investments categorized in the fair value hierarchy use a consistent approach. Investments that calculate net asset value per share (or its equivalent), but for which the practical expedient is not applied, will continue to be included in the fair value hierarchy.</w:t>
            </w:r>
          </w:p>
          <w:p w:rsidR="00554C6C" w:rsidRPr="00F430C4" w:rsidRDefault="00554C6C" w:rsidP="0082715A">
            <w:pPr>
              <w:kinsoku w:val="0"/>
              <w:overflowPunct w:val="0"/>
              <w:autoSpaceDE w:val="0"/>
              <w:autoSpaceDN w:val="0"/>
              <w:adjustRightInd w:val="0"/>
              <w:spacing w:before="119"/>
              <w:ind w:left="40" w:right="118"/>
              <w:rPr>
                <w:rFonts w:ascii="Arial" w:eastAsia="Times New Roman" w:hAnsi="Arial" w:cs="Arial"/>
                <w:b/>
                <w:sz w:val="18"/>
                <w:szCs w:val="18"/>
              </w:rPr>
            </w:pPr>
          </w:p>
        </w:tc>
      </w:tr>
    </w:tbl>
    <w:p w:rsidR="00554C6C" w:rsidRDefault="00554C6C" w:rsidP="00AB15C1">
      <w:pPr>
        <w:kinsoku w:val="0"/>
        <w:overflowPunct w:val="0"/>
        <w:autoSpaceDE w:val="0"/>
        <w:autoSpaceDN w:val="0"/>
        <w:adjustRightInd w:val="0"/>
        <w:spacing w:before="119" w:after="0" w:line="240" w:lineRule="auto"/>
        <w:ind w:left="40" w:right="118"/>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8B5153" w:rsidTr="0082715A">
        <w:tc>
          <w:tcPr>
            <w:tcW w:w="9350" w:type="dxa"/>
          </w:tcPr>
          <w:p w:rsidR="008B5153" w:rsidRDefault="008B5153" w:rsidP="0082715A">
            <w:pPr>
              <w:kinsoku w:val="0"/>
              <w:overflowPunct w:val="0"/>
              <w:autoSpaceDE w:val="0"/>
              <w:autoSpaceDN w:val="0"/>
              <w:adjustRightInd w:val="0"/>
              <w:spacing w:line="184" w:lineRule="exact"/>
              <w:ind w:left="40"/>
              <w:jc w:val="both"/>
              <w:rPr>
                <w:rFonts w:cs="Arial"/>
                <w:b/>
                <w:sz w:val="20"/>
                <w:szCs w:val="20"/>
              </w:rPr>
            </w:pPr>
          </w:p>
          <w:p w:rsidR="008B5153" w:rsidRPr="003B0BE1" w:rsidRDefault="008B5153" w:rsidP="0082715A">
            <w:pPr>
              <w:kinsoku w:val="0"/>
              <w:overflowPunct w:val="0"/>
              <w:autoSpaceDE w:val="0"/>
              <w:autoSpaceDN w:val="0"/>
              <w:adjustRightInd w:val="0"/>
              <w:spacing w:line="184" w:lineRule="exact"/>
              <w:ind w:left="40"/>
              <w:jc w:val="both"/>
              <w:rPr>
                <w:rFonts w:cs="Arial"/>
                <w:sz w:val="20"/>
                <w:szCs w:val="20"/>
              </w:rPr>
            </w:pPr>
            <w:r>
              <w:rPr>
                <w:rFonts w:cs="Arial"/>
                <w:b/>
                <w:sz w:val="20"/>
                <w:szCs w:val="20"/>
              </w:rPr>
              <w:t xml:space="preserve">GASB </w:t>
            </w:r>
            <w:r w:rsidRPr="00AB15C1">
              <w:rPr>
                <w:rFonts w:cs="Arial"/>
                <w:b/>
                <w:sz w:val="20"/>
                <w:szCs w:val="20"/>
              </w:rPr>
              <w:t xml:space="preserve">No. </w:t>
            </w:r>
            <w:r>
              <w:rPr>
                <w:rFonts w:cs="Arial"/>
                <w:b/>
                <w:sz w:val="20"/>
                <w:szCs w:val="20"/>
              </w:rPr>
              <w:t>72</w:t>
            </w:r>
            <w:r w:rsidRPr="00AB15C1">
              <w:rPr>
                <w:rFonts w:cs="Arial"/>
                <w:b/>
                <w:sz w:val="20"/>
                <w:szCs w:val="20"/>
              </w:rPr>
              <w:t xml:space="preserve">, </w:t>
            </w:r>
            <w:r>
              <w:rPr>
                <w:rFonts w:cs="Arial"/>
                <w:b/>
                <w:i/>
                <w:sz w:val="20"/>
                <w:szCs w:val="20"/>
              </w:rPr>
              <w:t>Fair Value Measurement and Application</w:t>
            </w:r>
          </w:p>
          <w:p w:rsidR="008B5153" w:rsidRDefault="008B5153" w:rsidP="008B5153">
            <w:pPr>
              <w:kinsoku w:val="0"/>
              <w:overflowPunct w:val="0"/>
              <w:autoSpaceDE w:val="0"/>
              <w:autoSpaceDN w:val="0"/>
              <w:adjustRightInd w:val="0"/>
              <w:spacing w:before="119"/>
              <w:ind w:left="40" w:right="118"/>
              <w:rPr>
                <w:rFonts w:cs="Arial"/>
                <w:spacing w:val="-1"/>
                <w:sz w:val="20"/>
                <w:szCs w:val="20"/>
              </w:rPr>
            </w:pPr>
            <w:r w:rsidRPr="008B5153">
              <w:rPr>
                <w:rFonts w:cs="Arial"/>
                <w:spacing w:val="-1"/>
                <w:sz w:val="20"/>
                <w:szCs w:val="20"/>
              </w:rPr>
              <w:t>This Statement provides guidance for determining a fair value measurement for financial reporting purposes</w:t>
            </w:r>
            <w:r>
              <w:rPr>
                <w:rFonts w:cs="Arial"/>
                <w:spacing w:val="-1"/>
                <w:sz w:val="20"/>
                <w:szCs w:val="20"/>
              </w:rPr>
              <w:t xml:space="preserve">, </w:t>
            </w:r>
            <w:r w:rsidRPr="008B5153">
              <w:rPr>
                <w:rFonts w:cs="Arial"/>
                <w:spacing w:val="-1"/>
                <w:sz w:val="20"/>
                <w:szCs w:val="20"/>
              </w:rPr>
              <w:t>for applying fair value to certain investments</w:t>
            </w:r>
            <w:r>
              <w:rPr>
                <w:rFonts w:cs="Arial"/>
                <w:spacing w:val="-1"/>
                <w:sz w:val="20"/>
                <w:szCs w:val="20"/>
              </w:rPr>
              <w:t xml:space="preserve">, </w:t>
            </w:r>
            <w:r w:rsidRPr="008B5153">
              <w:rPr>
                <w:rFonts w:cs="Arial"/>
                <w:spacing w:val="-1"/>
                <w:sz w:val="20"/>
                <w:szCs w:val="20"/>
              </w:rPr>
              <w:t>and</w:t>
            </w:r>
            <w:r>
              <w:rPr>
                <w:rFonts w:cs="Arial"/>
                <w:spacing w:val="-1"/>
                <w:sz w:val="20"/>
                <w:szCs w:val="20"/>
              </w:rPr>
              <w:t xml:space="preserve"> for</w:t>
            </w:r>
            <w:r w:rsidRPr="008B5153">
              <w:rPr>
                <w:rFonts w:cs="Arial"/>
                <w:spacing w:val="-1"/>
                <w:sz w:val="20"/>
                <w:szCs w:val="20"/>
              </w:rPr>
              <w:t xml:space="preserve"> fair value </w:t>
            </w:r>
            <w:r>
              <w:rPr>
                <w:rFonts w:cs="Arial"/>
                <w:spacing w:val="-1"/>
                <w:sz w:val="20"/>
                <w:szCs w:val="20"/>
              </w:rPr>
              <w:t>measurement</w:t>
            </w:r>
            <w:r w:rsidRPr="008B5153">
              <w:rPr>
                <w:rFonts w:cs="Arial"/>
                <w:spacing w:val="-1"/>
                <w:sz w:val="20"/>
                <w:szCs w:val="20"/>
              </w:rPr>
              <w:t xml:space="preserve"> disclosures. </w:t>
            </w:r>
            <w:r>
              <w:rPr>
                <w:rFonts w:cs="Arial"/>
                <w:spacing w:val="-1"/>
                <w:sz w:val="20"/>
                <w:szCs w:val="20"/>
              </w:rPr>
              <w:t xml:space="preserve">Fair value is an exit price that is </w:t>
            </w:r>
            <w:r w:rsidRPr="008B5153">
              <w:rPr>
                <w:rFonts w:cs="Arial"/>
                <w:spacing w:val="-1"/>
                <w:sz w:val="20"/>
                <w:szCs w:val="20"/>
              </w:rPr>
              <w:t>the price that would be received to sell an asset or paid to transfer a liability in an orderly transaction between market participants at the measurement date.</w:t>
            </w:r>
          </w:p>
          <w:p w:rsidR="008B5153" w:rsidRDefault="008B5153" w:rsidP="008B5153">
            <w:pPr>
              <w:kinsoku w:val="0"/>
              <w:overflowPunct w:val="0"/>
              <w:autoSpaceDE w:val="0"/>
              <w:autoSpaceDN w:val="0"/>
              <w:adjustRightInd w:val="0"/>
              <w:spacing w:before="119"/>
              <w:ind w:left="40" w:right="118"/>
              <w:rPr>
                <w:rFonts w:cs="Arial"/>
                <w:spacing w:val="-1"/>
                <w:sz w:val="20"/>
                <w:szCs w:val="20"/>
                <w:u w:val="single"/>
              </w:rPr>
            </w:pPr>
            <w:r w:rsidRPr="008B5153">
              <w:rPr>
                <w:rFonts w:cs="Arial"/>
                <w:spacing w:val="-1"/>
                <w:sz w:val="20"/>
                <w:szCs w:val="20"/>
                <w:u w:val="single"/>
              </w:rPr>
              <w:t>Fair Value Measurement</w:t>
            </w:r>
          </w:p>
          <w:p w:rsidR="008B5153" w:rsidRDefault="008B5153" w:rsidP="008B5153">
            <w:pPr>
              <w:kinsoku w:val="0"/>
              <w:overflowPunct w:val="0"/>
              <w:autoSpaceDE w:val="0"/>
              <w:autoSpaceDN w:val="0"/>
              <w:adjustRightInd w:val="0"/>
              <w:spacing w:before="119"/>
              <w:ind w:left="40" w:right="118"/>
              <w:rPr>
                <w:rFonts w:cs="Arial"/>
                <w:spacing w:val="-1"/>
                <w:sz w:val="20"/>
                <w:szCs w:val="20"/>
              </w:rPr>
            </w:pPr>
            <w:r w:rsidRPr="008B5153">
              <w:rPr>
                <w:rFonts w:cs="Arial"/>
                <w:spacing w:val="-1"/>
                <w:sz w:val="20"/>
                <w:szCs w:val="20"/>
              </w:rPr>
              <w:t>Fair value measurements assume a</w:t>
            </w:r>
            <w:r>
              <w:rPr>
                <w:rFonts w:cs="Arial"/>
                <w:spacing w:val="-1"/>
                <w:sz w:val="20"/>
                <w:szCs w:val="20"/>
              </w:rPr>
              <w:t xml:space="preserve"> </w:t>
            </w:r>
            <w:r w:rsidRPr="008B5153">
              <w:rPr>
                <w:rFonts w:cs="Arial"/>
                <w:spacing w:val="-1"/>
                <w:sz w:val="20"/>
                <w:szCs w:val="20"/>
              </w:rPr>
              <w:t>transaction takes place in a government’s principal market, or a government’s most advantageous market in the absence of a principal market</w:t>
            </w:r>
            <w:r>
              <w:rPr>
                <w:rFonts w:cs="Arial"/>
                <w:spacing w:val="-1"/>
                <w:sz w:val="20"/>
                <w:szCs w:val="20"/>
              </w:rPr>
              <w:t xml:space="preserve">, under the assumption that </w:t>
            </w:r>
            <w:r w:rsidRPr="008B5153">
              <w:rPr>
                <w:rFonts w:cs="Arial"/>
                <w:spacing w:val="-1"/>
                <w:sz w:val="20"/>
                <w:szCs w:val="20"/>
              </w:rPr>
              <w:t xml:space="preserve">general market participants would act in their economic best interest. </w:t>
            </w:r>
            <w:r w:rsidR="00A673BB">
              <w:rPr>
                <w:rFonts w:cs="Arial"/>
                <w:spacing w:val="-1"/>
                <w:sz w:val="20"/>
                <w:szCs w:val="20"/>
              </w:rPr>
              <w:t xml:space="preserve">For a nonfinancial asset, fair value measurements assume the highest and best use of the asset. For liabilities, measurement assumes that the liability would be transferred to a market participant and not settled with the counterparty. </w:t>
            </w:r>
            <w:r w:rsidRPr="008B5153">
              <w:rPr>
                <w:rFonts w:cs="Arial"/>
                <w:spacing w:val="-1"/>
                <w:sz w:val="20"/>
                <w:szCs w:val="20"/>
              </w:rPr>
              <w:t xml:space="preserve">Fair value </w:t>
            </w:r>
            <w:r>
              <w:rPr>
                <w:rFonts w:cs="Arial"/>
                <w:spacing w:val="-1"/>
                <w:sz w:val="20"/>
                <w:szCs w:val="20"/>
              </w:rPr>
              <w:t>is</w:t>
            </w:r>
            <w:r w:rsidRPr="008B5153">
              <w:rPr>
                <w:rFonts w:cs="Arial"/>
                <w:spacing w:val="-1"/>
                <w:sz w:val="20"/>
                <w:szCs w:val="20"/>
              </w:rPr>
              <w:t xml:space="preserve"> not be adjusted for transaction costs.</w:t>
            </w:r>
          </w:p>
          <w:p w:rsidR="00E07892" w:rsidRPr="00E07892" w:rsidRDefault="00E07892" w:rsidP="00E07892">
            <w:pPr>
              <w:kinsoku w:val="0"/>
              <w:overflowPunct w:val="0"/>
              <w:autoSpaceDE w:val="0"/>
              <w:autoSpaceDN w:val="0"/>
              <w:adjustRightInd w:val="0"/>
              <w:spacing w:before="119"/>
              <w:ind w:left="40" w:right="118"/>
              <w:rPr>
                <w:rFonts w:cs="Arial"/>
                <w:spacing w:val="-1"/>
                <w:sz w:val="20"/>
                <w:szCs w:val="20"/>
              </w:rPr>
            </w:pPr>
            <w:r w:rsidRPr="00E07892">
              <w:rPr>
                <w:rFonts w:cs="Arial"/>
                <w:spacing w:val="-1"/>
                <w:sz w:val="20"/>
                <w:szCs w:val="20"/>
              </w:rPr>
              <w:t xml:space="preserve">This Statement establishes a </w:t>
            </w:r>
            <w:r>
              <w:rPr>
                <w:rFonts w:cs="Arial"/>
                <w:spacing w:val="-1"/>
                <w:sz w:val="20"/>
                <w:szCs w:val="20"/>
              </w:rPr>
              <w:t xml:space="preserve">three-level </w:t>
            </w:r>
            <w:r w:rsidRPr="00E07892">
              <w:rPr>
                <w:rFonts w:cs="Arial"/>
                <w:spacing w:val="-1"/>
                <w:sz w:val="20"/>
                <w:szCs w:val="20"/>
              </w:rPr>
              <w:t xml:space="preserve">hierarchy of valuation technique inputs. Level 1 inputs are quoted prices (unadjusted) in active markets for identical assets or liabilities. Level 2 inputs are </w:t>
            </w:r>
            <w:r>
              <w:rPr>
                <w:rFonts w:cs="Arial"/>
                <w:spacing w:val="-1"/>
                <w:sz w:val="20"/>
                <w:szCs w:val="20"/>
              </w:rPr>
              <w:t>inputs (</w:t>
            </w:r>
            <w:r w:rsidRPr="00E07892">
              <w:rPr>
                <w:rFonts w:cs="Arial"/>
                <w:spacing w:val="-1"/>
                <w:sz w:val="20"/>
                <w:szCs w:val="20"/>
              </w:rPr>
              <w:t>other than quoted prices</w:t>
            </w:r>
            <w:r>
              <w:rPr>
                <w:rFonts w:cs="Arial"/>
                <w:spacing w:val="-1"/>
                <w:sz w:val="20"/>
                <w:szCs w:val="20"/>
              </w:rPr>
              <w:t xml:space="preserve">) </w:t>
            </w:r>
            <w:r w:rsidRPr="00E07892">
              <w:rPr>
                <w:rFonts w:cs="Arial"/>
                <w:spacing w:val="-1"/>
                <w:sz w:val="20"/>
                <w:szCs w:val="20"/>
              </w:rPr>
              <w:t>included within Level 1 that are observable for the asset or liability, either directly or indirectly.</w:t>
            </w:r>
            <w:r>
              <w:rPr>
                <w:rFonts w:cs="Arial"/>
                <w:spacing w:val="-1"/>
                <w:sz w:val="20"/>
                <w:szCs w:val="20"/>
              </w:rPr>
              <w:t xml:space="preserve"> </w:t>
            </w:r>
            <w:r w:rsidRPr="00E07892">
              <w:rPr>
                <w:rFonts w:cs="Arial"/>
                <w:spacing w:val="-1"/>
                <w:sz w:val="20"/>
                <w:szCs w:val="20"/>
              </w:rPr>
              <w:t>Level 3 inputs are unobservable inputs, such as management’s assumption of the default rate among underlying mortgages of a mortgage-backed security.</w:t>
            </w:r>
          </w:p>
          <w:p w:rsidR="00B36A5C" w:rsidRPr="00B36A5C" w:rsidRDefault="00B36A5C" w:rsidP="00B36A5C">
            <w:pPr>
              <w:kinsoku w:val="0"/>
              <w:overflowPunct w:val="0"/>
              <w:autoSpaceDE w:val="0"/>
              <w:autoSpaceDN w:val="0"/>
              <w:adjustRightInd w:val="0"/>
              <w:spacing w:before="119"/>
              <w:ind w:left="40" w:right="118"/>
              <w:rPr>
                <w:rFonts w:cs="Arial"/>
                <w:spacing w:val="-1"/>
                <w:sz w:val="20"/>
                <w:szCs w:val="20"/>
              </w:rPr>
            </w:pPr>
            <w:r>
              <w:rPr>
                <w:rFonts w:cs="Arial"/>
                <w:spacing w:val="-1"/>
                <w:sz w:val="20"/>
                <w:szCs w:val="20"/>
              </w:rPr>
              <w:t xml:space="preserve">Appropriate </w:t>
            </w:r>
            <w:r w:rsidRPr="00B36A5C">
              <w:rPr>
                <w:rFonts w:cs="Arial"/>
                <w:spacing w:val="-1"/>
                <w:sz w:val="20"/>
                <w:szCs w:val="20"/>
              </w:rPr>
              <w:t>valuation techniques</w:t>
            </w:r>
            <w:r>
              <w:rPr>
                <w:rFonts w:cs="Arial"/>
                <w:spacing w:val="-1"/>
                <w:sz w:val="20"/>
                <w:szCs w:val="20"/>
              </w:rPr>
              <w:t xml:space="preserve"> include</w:t>
            </w:r>
            <w:r w:rsidRPr="00B36A5C">
              <w:rPr>
                <w:rFonts w:cs="Arial"/>
                <w:spacing w:val="-1"/>
                <w:sz w:val="20"/>
                <w:szCs w:val="20"/>
              </w:rPr>
              <w:t xml:space="preserve">: the market approach, the cost approach, or the income approach. The market approach uses prices and other relevant information generated by market transactions involving identical or comparable assets, liabilities, or a group of assets and liabilities. The cost approach reflects the amount that would be required to replace the present service capacity of an asset. The income approach converts future amounts (such as cash flows or income and expenses) to a single current (discounted) amount. </w:t>
            </w:r>
          </w:p>
          <w:p w:rsidR="008B5153" w:rsidRDefault="00A673BB" w:rsidP="008B5153">
            <w:pPr>
              <w:kinsoku w:val="0"/>
              <w:overflowPunct w:val="0"/>
              <w:autoSpaceDE w:val="0"/>
              <w:autoSpaceDN w:val="0"/>
              <w:adjustRightInd w:val="0"/>
              <w:spacing w:before="119"/>
              <w:ind w:left="40" w:right="118"/>
              <w:rPr>
                <w:rFonts w:cs="Arial"/>
                <w:spacing w:val="-1"/>
                <w:sz w:val="20"/>
                <w:szCs w:val="20"/>
                <w:u w:val="single"/>
              </w:rPr>
            </w:pPr>
            <w:r>
              <w:rPr>
                <w:rFonts w:cs="Arial"/>
                <w:spacing w:val="-1"/>
                <w:sz w:val="20"/>
                <w:szCs w:val="20"/>
                <w:u w:val="single"/>
              </w:rPr>
              <w:t>Fair Value Application</w:t>
            </w:r>
          </w:p>
          <w:p w:rsidR="00E07892" w:rsidRDefault="00A673BB" w:rsidP="00A673BB">
            <w:pPr>
              <w:kinsoku w:val="0"/>
              <w:overflowPunct w:val="0"/>
              <w:autoSpaceDE w:val="0"/>
              <w:autoSpaceDN w:val="0"/>
              <w:adjustRightInd w:val="0"/>
              <w:spacing w:before="119"/>
              <w:ind w:left="40" w:right="118"/>
              <w:rPr>
                <w:rFonts w:cs="Arial"/>
                <w:spacing w:val="-1"/>
                <w:sz w:val="20"/>
                <w:szCs w:val="20"/>
              </w:rPr>
            </w:pPr>
            <w:r w:rsidRPr="00A673BB">
              <w:rPr>
                <w:rFonts w:cs="Arial"/>
                <w:spacing w:val="-1"/>
                <w:sz w:val="20"/>
                <w:szCs w:val="20"/>
              </w:rPr>
              <w:t>This Statement generally requires investments to be measured at fair value.</w:t>
            </w:r>
            <w:r>
              <w:rPr>
                <w:rFonts w:cs="Arial"/>
                <w:spacing w:val="-1"/>
                <w:sz w:val="20"/>
                <w:szCs w:val="20"/>
              </w:rPr>
              <w:t xml:space="preserve"> </w:t>
            </w:r>
            <w:r w:rsidRPr="00A673BB">
              <w:rPr>
                <w:rFonts w:cs="Arial"/>
                <w:spacing w:val="-1"/>
                <w:sz w:val="20"/>
                <w:szCs w:val="20"/>
              </w:rPr>
              <w:t xml:space="preserve">An </w:t>
            </w:r>
            <w:r w:rsidRPr="00A673BB">
              <w:rPr>
                <w:rFonts w:cs="Arial"/>
                <w:i/>
                <w:iCs/>
                <w:spacing w:val="-1"/>
                <w:sz w:val="20"/>
                <w:szCs w:val="20"/>
              </w:rPr>
              <w:t xml:space="preserve">investment </w:t>
            </w:r>
            <w:r w:rsidRPr="00A673BB">
              <w:rPr>
                <w:rFonts w:cs="Arial"/>
                <w:spacing w:val="-1"/>
                <w:sz w:val="20"/>
                <w:szCs w:val="20"/>
              </w:rPr>
              <w:t xml:space="preserve">is defined as a security or other asset that (a) a government holds primarily for the purpose of income or profit and (b) has a present service capacity based solely on its ability to generate cash or to be sold to generate cash. </w:t>
            </w:r>
          </w:p>
          <w:p w:rsidR="00A673BB" w:rsidRPr="008B5153" w:rsidRDefault="00E07892" w:rsidP="008B5153">
            <w:pPr>
              <w:kinsoku w:val="0"/>
              <w:overflowPunct w:val="0"/>
              <w:autoSpaceDE w:val="0"/>
              <w:autoSpaceDN w:val="0"/>
              <w:adjustRightInd w:val="0"/>
              <w:spacing w:before="119"/>
              <w:ind w:left="40" w:right="118"/>
              <w:rPr>
                <w:rFonts w:cs="Arial"/>
                <w:spacing w:val="-1"/>
                <w:sz w:val="20"/>
                <w:szCs w:val="20"/>
                <w:u w:val="single"/>
              </w:rPr>
            </w:pPr>
            <w:r>
              <w:rPr>
                <w:rFonts w:cs="Arial"/>
                <w:spacing w:val="-1"/>
                <w:sz w:val="20"/>
                <w:szCs w:val="20"/>
              </w:rPr>
              <w:t>D</w:t>
            </w:r>
            <w:r w:rsidR="00A673BB" w:rsidRPr="00A673BB">
              <w:rPr>
                <w:rFonts w:cs="Arial"/>
                <w:spacing w:val="-1"/>
                <w:sz w:val="20"/>
                <w:szCs w:val="20"/>
              </w:rPr>
              <w:t>onated capital assets, donated works of art, historical treasures, and capital assets received in a service concession arrangement</w:t>
            </w:r>
            <w:r>
              <w:rPr>
                <w:rFonts w:cs="Arial"/>
                <w:spacing w:val="-1"/>
                <w:sz w:val="20"/>
                <w:szCs w:val="20"/>
              </w:rPr>
              <w:t xml:space="preserve"> are measured</w:t>
            </w:r>
            <w:r w:rsidRPr="00A673BB">
              <w:rPr>
                <w:rFonts w:cs="Arial"/>
                <w:spacing w:val="-1"/>
                <w:sz w:val="20"/>
                <w:szCs w:val="20"/>
              </w:rPr>
              <w:t xml:space="preserve"> </w:t>
            </w:r>
            <w:r>
              <w:rPr>
                <w:rFonts w:cs="Arial"/>
                <w:spacing w:val="-1"/>
                <w:sz w:val="20"/>
                <w:szCs w:val="20"/>
              </w:rPr>
              <w:t xml:space="preserve"> </w:t>
            </w:r>
            <w:r w:rsidRPr="00A673BB">
              <w:rPr>
                <w:rFonts w:cs="Arial"/>
                <w:spacing w:val="-1"/>
                <w:sz w:val="20"/>
                <w:szCs w:val="20"/>
              </w:rPr>
              <w:t>at acquisition value (an entry price)</w:t>
            </w:r>
            <w:r>
              <w:rPr>
                <w:rFonts w:cs="Arial"/>
                <w:spacing w:val="-1"/>
                <w:sz w:val="20"/>
                <w:szCs w:val="20"/>
              </w:rPr>
              <w:t>; t</w:t>
            </w:r>
            <w:r w:rsidR="00A673BB" w:rsidRPr="00A673BB">
              <w:rPr>
                <w:rFonts w:cs="Arial"/>
                <w:spacing w:val="-1"/>
                <w:sz w:val="20"/>
                <w:szCs w:val="20"/>
              </w:rPr>
              <w:t>hese</w:t>
            </w:r>
            <w:r w:rsidR="00A673BB">
              <w:rPr>
                <w:rFonts w:cs="Arial"/>
                <w:spacing w:val="-1"/>
                <w:sz w:val="20"/>
                <w:szCs w:val="20"/>
              </w:rPr>
              <w:t xml:space="preserve"> </w:t>
            </w:r>
            <w:r w:rsidR="00A673BB" w:rsidRPr="00A673BB">
              <w:rPr>
                <w:rFonts w:cs="Arial"/>
                <w:spacing w:val="-1"/>
                <w:sz w:val="20"/>
                <w:szCs w:val="20"/>
              </w:rPr>
              <w:t>assets were previously required to be measured at fair value.</w:t>
            </w:r>
            <w:r w:rsidRPr="00A673BB">
              <w:rPr>
                <w:rFonts w:cs="Arial"/>
                <w:spacing w:val="-1"/>
                <w:sz w:val="20"/>
                <w:szCs w:val="20"/>
              </w:rPr>
              <w:t xml:space="preserve"> </w:t>
            </w:r>
          </w:p>
          <w:p w:rsidR="008B5153" w:rsidRPr="00F430C4" w:rsidRDefault="008B5153" w:rsidP="0082715A">
            <w:pPr>
              <w:kinsoku w:val="0"/>
              <w:overflowPunct w:val="0"/>
              <w:autoSpaceDE w:val="0"/>
              <w:autoSpaceDN w:val="0"/>
              <w:adjustRightInd w:val="0"/>
              <w:spacing w:before="119"/>
              <w:ind w:left="40" w:right="118"/>
              <w:rPr>
                <w:rFonts w:ascii="Arial" w:eastAsia="Times New Roman" w:hAnsi="Arial" w:cs="Arial"/>
                <w:b/>
                <w:sz w:val="18"/>
                <w:szCs w:val="18"/>
              </w:rPr>
            </w:pPr>
          </w:p>
        </w:tc>
      </w:tr>
    </w:tbl>
    <w:p w:rsidR="00D431D3" w:rsidRDefault="00D431D3" w:rsidP="00AB15C1">
      <w:pPr>
        <w:kinsoku w:val="0"/>
        <w:overflowPunct w:val="0"/>
        <w:autoSpaceDE w:val="0"/>
        <w:autoSpaceDN w:val="0"/>
        <w:adjustRightInd w:val="0"/>
        <w:spacing w:before="119" w:after="0" w:line="240" w:lineRule="auto"/>
        <w:ind w:left="40" w:right="118"/>
      </w:pPr>
    </w:p>
    <w:p w:rsidR="003919D8" w:rsidRDefault="003919D8" w:rsidP="00AB15C1">
      <w:pPr>
        <w:kinsoku w:val="0"/>
        <w:overflowPunct w:val="0"/>
        <w:autoSpaceDE w:val="0"/>
        <w:autoSpaceDN w:val="0"/>
        <w:adjustRightInd w:val="0"/>
        <w:spacing w:before="119" w:after="0" w:line="240" w:lineRule="auto"/>
        <w:ind w:left="40" w:right="118"/>
      </w:pPr>
    </w:p>
    <w:p w:rsidR="003919D8" w:rsidRDefault="003919D8" w:rsidP="00AB15C1">
      <w:pPr>
        <w:kinsoku w:val="0"/>
        <w:overflowPunct w:val="0"/>
        <w:autoSpaceDE w:val="0"/>
        <w:autoSpaceDN w:val="0"/>
        <w:adjustRightInd w:val="0"/>
        <w:spacing w:before="119" w:after="0" w:line="240" w:lineRule="auto"/>
        <w:ind w:left="40" w:right="118"/>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9007B6" w:rsidTr="0082715A">
        <w:tc>
          <w:tcPr>
            <w:tcW w:w="9350" w:type="dxa"/>
          </w:tcPr>
          <w:p w:rsidR="009007B6" w:rsidRDefault="009007B6" w:rsidP="0082715A">
            <w:pPr>
              <w:kinsoku w:val="0"/>
              <w:overflowPunct w:val="0"/>
              <w:autoSpaceDE w:val="0"/>
              <w:autoSpaceDN w:val="0"/>
              <w:adjustRightInd w:val="0"/>
              <w:spacing w:line="184" w:lineRule="exact"/>
              <w:ind w:left="40"/>
              <w:jc w:val="both"/>
              <w:rPr>
                <w:rFonts w:cs="Arial"/>
                <w:b/>
                <w:sz w:val="20"/>
                <w:szCs w:val="20"/>
              </w:rPr>
            </w:pPr>
          </w:p>
          <w:p w:rsidR="009007B6" w:rsidRPr="00AB15C1" w:rsidRDefault="009007B6" w:rsidP="0082715A">
            <w:pPr>
              <w:kinsoku w:val="0"/>
              <w:overflowPunct w:val="0"/>
              <w:autoSpaceDE w:val="0"/>
              <w:autoSpaceDN w:val="0"/>
              <w:adjustRightInd w:val="0"/>
              <w:spacing w:line="184" w:lineRule="exact"/>
              <w:ind w:left="40"/>
              <w:jc w:val="both"/>
              <w:rPr>
                <w:rFonts w:cs="Arial"/>
                <w:b/>
                <w:sz w:val="20"/>
                <w:szCs w:val="20"/>
              </w:rPr>
            </w:pPr>
            <w:r>
              <w:rPr>
                <w:rFonts w:cs="Arial"/>
                <w:b/>
                <w:sz w:val="20"/>
                <w:szCs w:val="20"/>
              </w:rPr>
              <w:t>GASB No. 73</w:t>
            </w:r>
            <w:r w:rsidRPr="00AB15C1">
              <w:rPr>
                <w:rFonts w:cs="Arial"/>
                <w:b/>
                <w:sz w:val="20"/>
                <w:szCs w:val="20"/>
              </w:rPr>
              <w:t xml:space="preserve">, </w:t>
            </w:r>
            <w:r>
              <w:rPr>
                <w:rFonts w:cs="Arial"/>
                <w:b/>
                <w:i/>
                <w:sz w:val="20"/>
                <w:szCs w:val="20"/>
              </w:rPr>
              <w:t>Accounting and Financial Reporting for Pensions and Related Assets That are Not Within the Scope of GASB 68</w:t>
            </w:r>
          </w:p>
          <w:p w:rsidR="009007B6" w:rsidRDefault="003919D8" w:rsidP="003919D8">
            <w:pPr>
              <w:kinsoku w:val="0"/>
              <w:overflowPunct w:val="0"/>
              <w:autoSpaceDE w:val="0"/>
              <w:autoSpaceDN w:val="0"/>
              <w:adjustRightInd w:val="0"/>
              <w:spacing w:before="119"/>
              <w:ind w:left="40" w:right="118"/>
              <w:rPr>
                <w:rFonts w:cs="Arial"/>
                <w:spacing w:val="-1"/>
                <w:sz w:val="20"/>
                <w:szCs w:val="20"/>
              </w:rPr>
            </w:pPr>
            <w:r w:rsidRPr="003919D8">
              <w:rPr>
                <w:rFonts w:cs="Arial"/>
                <w:spacing w:val="-1"/>
                <w:sz w:val="20"/>
                <w:szCs w:val="20"/>
              </w:rPr>
              <w:t>The objective of this Statement is to improve the usefulness of information</w:t>
            </w:r>
            <w:r>
              <w:rPr>
                <w:rFonts w:cs="Arial"/>
                <w:spacing w:val="-1"/>
                <w:sz w:val="20"/>
                <w:szCs w:val="20"/>
              </w:rPr>
              <w:t xml:space="preserve"> </w:t>
            </w:r>
            <w:r w:rsidRPr="003919D8">
              <w:rPr>
                <w:rFonts w:cs="Arial"/>
                <w:spacing w:val="-1"/>
                <w:sz w:val="20"/>
                <w:szCs w:val="20"/>
              </w:rPr>
              <w:t>about pensions included in the general purpose external financial reports of</w:t>
            </w:r>
            <w:r>
              <w:rPr>
                <w:rFonts w:cs="Arial"/>
                <w:spacing w:val="-1"/>
                <w:sz w:val="20"/>
                <w:szCs w:val="20"/>
              </w:rPr>
              <w:t xml:space="preserve"> </w:t>
            </w:r>
            <w:r w:rsidRPr="003919D8">
              <w:rPr>
                <w:rFonts w:cs="Arial"/>
                <w:spacing w:val="-1"/>
                <w:sz w:val="20"/>
                <w:szCs w:val="20"/>
              </w:rPr>
              <w:t>state and local governments for making decisions and assessing accountability.</w:t>
            </w:r>
            <w:r>
              <w:rPr>
                <w:rFonts w:cs="Arial"/>
                <w:spacing w:val="-1"/>
                <w:sz w:val="20"/>
                <w:szCs w:val="20"/>
              </w:rPr>
              <w:t xml:space="preserve"> The Statement</w:t>
            </w:r>
            <w:r w:rsidRPr="003919D8">
              <w:rPr>
                <w:rFonts w:cs="Arial"/>
                <w:spacing w:val="-1"/>
                <w:sz w:val="20"/>
                <w:szCs w:val="20"/>
              </w:rPr>
              <w:t xml:space="preserve"> establishes requirements for defined benefit </w:t>
            </w:r>
            <w:r>
              <w:rPr>
                <w:rFonts w:cs="Arial"/>
                <w:spacing w:val="-1"/>
                <w:sz w:val="20"/>
                <w:szCs w:val="20"/>
              </w:rPr>
              <w:t xml:space="preserve">and </w:t>
            </w:r>
            <w:r w:rsidRPr="003919D8">
              <w:rPr>
                <w:rFonts w:cs="Arial"/>
                <w:spacing w:val="-1"/>
                <w:sz w:val="20"/>
                <w:szCs w:val="20"/>
              </w:rPr>
              <w:t>defined contribution pensions that</w:t>
            </w:r>
            <w:r>
              <w:rPr>
                <w:rFonts w:cs="Arial"/>
                <w:spacing w:val="-1"/>
                <w:sz w:val="20"/>
                <w:szCs w:val="20"/>
              </w:rPr>
              <w:t xml:space="preserve"> </w:t>
            </w:r>
            <w:r w:rsidRPr="003919D8">
              <w:rPr>
                <w:rFonts w:cs="Arial"/>
                <w:spacing w:val="-1"/>
                <w:sz w:val="20"/>
                <w:szCs w:val="20"/>
              </w:rPr>
              <w:t xml:space="preserve">are not within the scope of Statement No. 68, </w:t>
            </w:r>
            <w:r w:rsidRPr="003919D8">
              <w:rPr>
                <w:rFonts w:cs="Arial"/>
                <w:i/>
                <w:spacing w:val="-1"/>
                <w:sz w:val="20"/>
                <w:szCs w:val="20"/>
              </w:rPr>
              <w:t>Accounting and Financial Reporting for Pensions</w:t>
            </w:r>
            <w:r>
              <w:rPr>
                <w:rFonts w:cs="Arial"/>
                <w:spacing w:val="-1"/>
                <w:sz w:val="20"/>
                <w:szCs w:val="20"/>
              </w:rPr>
              <w:t xml:space="preserve">. </w:t>
            </w:r>
            <w:r w:rsidRPr="003919D8">
              <w:rPr>
                <w:rFonts w:cs="Arial"/>
                <w:spacing w:val="-1"/>
                <w:sz w:val="20"/>
                <w:szCs w:val="20"/>
              </w:rPr>
              <w:t xml:space="preserve">It also amends certain provisions of Statement No. 67, </w:t>
            </w:r>
            <w:r w:rsidRPr="003919D8">
              <w:rPr>
                <w:rFonts w:cs="Arial"/>
                <w:i/>
                <w:spacing w:val="-1"/>
                <w:sz w:val="20"/>
                <w:szCs w:val="20"/>
              </w:rPr>
              <w:t>Financial Reporting for Pension Plans</w:t>
            </w:r>
            <w:r>
              <w:rPr>
                <w:rFonts w:cs="Arial"/>
                <w:spacing w:val="-1"/>
                <w:sz w:val="20"/>
                <w:szCs w:val="20"/>
              </w:rPr>
              <w:t xml:space="preserve">. </w:t>
            </w:r>
          </w:p>
          <w:p w:rsidR="003919D8" w:rsidRDefault="003919D8" w:rsidP="003919D8">
            <w:pPr>
              <w:kinsoku w:val="0"/>
              <w:overflowPunct w:val="0"/>
              <w:autoSpaceDE w:val="0"/>
              <w:autoSpaceDN w:val="0"/>
              <w:adjustRightInd w:val="0"/>
              <w:spacing w:before="119"/>
              <w:ind w:left="40" w:right="118"/>
              <w:rPr>
                <w:rFonts w:ascii="Arial" w:eastAsia="Times New Roman" w:hAnsi="Arial" w:cs="Arial"/>
                <w:b/>
                <w:sz w:val="18"/>
                <w:szCs w:val="18"/>
              </w:rPr>
            </w:pPr>
          </w:p>
          <w:p w:rsidR="003919D8" w:rsidRDefault="003919D8" w:rsidP="003919D8">
            <w:pPr>
              <w:kinsoku w:val="0"/>
              <w:overflowPunct w:val="0"/>
              <w:autoSpaceDE w:val="0"/>
              <w:autoSpaceDN w:val="0"/>
              <w:adjustRightInd w:val="0"/>
              <w:spacing w:line="184" w:lineRule="exact"/>
              <w:ind w:left="40"/>
              <w:jc w:val="both"/>
              <w:rPr>
                <w:rFonts w:cs="Arial"/>
                <w:b/>
                <w:i/>
                <w:sz w:val="20"/>
                <w:szCs w:val="20"/>
              </w:rPr>
            </w:pPr>
            <w:r>
              <w:rPr>
                <w:rFonts w:cs="Arial"/>
                <w:b/>
                <w:sz w:val="20"/>
                <w:szCs w:val="20"/>
              </w:rPr>
              <w:t>GASB No. 7</w:t>
            </w:r>
            <w:r w:rsidR="004E154F">
              <w:rPr>
                <w:rFonts w:cs="Arial"/>
                <w:b/>
                <w:sz w:val="20"/>
                <w:szCs w:val="20"/>
              </w:rPr>
              <w:t>4</w:t>
            </w:r>
            <w:r w:rsidRPr="00AB15C1">
              <w:rPr>
                <w:rFonts w:cs="Arial"/>
                <w:b/>
                <w:sz w:val="20"/>
                <w:szCs w:val="20"/>
              </w:rPr>
              <w:t xml:space="preserve">, </w:t>
            </w:r>
            <w:r>
              <w:rPr>
                <w:rFonts w:cs="Arial"/>
                <w:b/>
                <w:i/>
                <w:sz w:val="20"/>
                <w:szCs w:val="20"/>
              </w:rPr>
              <w:t xml:space="preserve">Financial Reporting for </w:t>
            </w:r>
            <w:r w:rsidR="004E154F">
              <w:rPr>
                <w:rFonts w:cs="Arial"/>
                <w:b/>
                <w:i/>
                <w:sz w:val="20"/>
                <w:szCs w:val="20"/>
              </w:rPr>
              <w:t>Postemployment Benefit Plans Other Than Pension Plans</w:t>
            </w:r>
          </w:p>
          <w:p w:rsidR="004E154F" w:rsidRDefault="004E154F" w:rsidP="004E154F">
            <w:pPr>
              <w:kinsoku w:val="0"/>
              <w:overflowPunct w:val="0"/>
              <w:autoSpaceDE w:val="0"/>
              <w:autoSpaceDN w:val="0"/>
              <w:adjustRightInd w:val="0"/>
              <w:spacing w:before="119"/>
              <w:ind w:left="40" w:right="118"/>
              <w:rPr>
                <w:rFonts w:cs="Arial"/>
                <w:spacing w:val="-1"/>
                <w:sz w:val="20"/>
                <w:szCs w:val="20"/>
              </w:rPr>
            </w:pPr>
            <w:r w:rsidRPr="004E154F">
              <w:rPr>
                <w:rFonts w:cs="Arial"/>
                <w:spacing w:val="-1"/>
                <w:sz w:val="20"/>
                <w:szCs w:val="20"/>
              </w:rPr>
              <w:t>The objective of this Statement is to improve the usefulness of information</w:t>
            </w:r>
            <w:r>
              <w:rPr>
                <w:rFonts w:cs="Arial"/>
                <w:spacing w:val="-1"/>
                <w:sz w:val="20"/>
                <w:szCs w:val="20"/>
              </w:rPr>
              <w:t xml:space="preserve"> </w:t>
            </w:r>
            <w:r w:rsidRPr="004E154F">
              <w:rPr>
                <w:rFonts w:cs="Arial"/>
                <w:spacing w:val="-1"/>
                <w:sz w:val="20"/>
                <w:szCs w:val="20"/>
              </w:rPr>
              <w:t>about postemployment benefits other than pensions included in the general purpose external financial reports of state and local governmental OPEB plans for making decisions and assessing accountability. The scope of this Statement includes OPEB plans—defined benefit and</w:t>
            </w:r>
            <w:r>
              <w:rPr>
                <w:rFonts w:cs="Arial"/>
                <w:spacing w:val="-1"/>
                <w:sz w:val="20"/>
                <w:szCs w:val="20"/>
              </w:rPr>
              <w:t xml:space="preserve"> </w:t>
            </w:r>
            <w:r w:rsidRPr="004E154F">
              <w:rPr>
                <w:rFonts w:cs="Arial"/>
                <w:spacing w:val="-1"/>
                <w:sz w:val="20"/>
                <w:szCs w:val="20"/>
              </w:rPr>
              <w:t xml:space="preserve">defined contribution—administered through trusts that meet </w:t>
            </w:r>
            <w:r>
              <w:rPr>
                <w:rFonts w:cs="Arial"/>
                <w:spacing w:val="-1"/>
                <w:sz w:val="20"/>
                <w:szCs w:val="20"/>
              </w:rPr>
              <w:t xml:space="preserve">certain </w:t>
            </w:r>
            <w:r w:rsidRPr="004E154F">
              <w:rPr>
                <w:rFonts w:cs="Arial"/>
                <w:spacing w:val="-1"/>
                <w:sz w:val="20"/>
                <w:szCs w:val="20"/>
              </w:rPr>
              <w:t>criteria</w:t>
            </w:r>
            <w:r>
              <w:rPr>
                <w:rFonts w:cs="Arial"/>
                <w:spacing w:val="-1"/>
                <w:sz w:val="20"/>
                <w:szCs w:val="20"/>
              </w:rPr>
              <w:t>.</w:t>
            </w:r>
          </w:p>
          <w:p w:rsidR="004E154F" w:rsidRPr="004E154F" w:rsidRDefault="004E154F" w:rsidP="004E154F">
            <w:pPr>
              <w:kinsoku w:val="0"/>
              <w:overflowPunct w:val="0"/>
              <w:autoSpaceDE w:val="0"/>
              <w:autoSpaceDN w:val="0"/>
              <w:adjustRightInd w:val="0"/>
              <w:spacing w:before="119"/>
              <w:ind w:left="40" w:right="118"/>
              <w:rPr>
                <w:rFonts w:cs="Arial"/>
                <w:spacing w:val="-1"/>
                <w:sz w:val="20"/>
                <w:szCs w:val="20"/>
              </w:rPr>
            </w:pPr>
            <w:r w:rsidRPr="004E154F">
              <w:rPr>
                <w:rFonts w:cs="Arial"/>
                <w:spacing w:val="-1"/>
                <w:sz w:val="20"/>
                <w:szCs w:val="20"/>
              </w:rPr>
              <w:t xml:space="preserve">This Statement replaces Statements No. </w:t>
            </w:r>
            <w:r>
              <w:rPr>
                <w:rFonts w:cs="Arial"/>
                <w:spacing w:val="-1"/>
                <w:sz w:val="20"/>
                <w:szCs w:val="20"/>
              </w:rPr>
              <w:t xml:space="preserve">43 </w:t>
            </w:r>
            <w:r w:rsidRPr="004E154F">
              <w:rPr>
                <w:rFonts w:cs="Arial"/>
                <w:spacing w:val="-1"/>
                <w:sz w:val="20"/>
                <w:szCs w:val="20"/>
              </w:rPr>
              <w:t>and No. 57</w:t>
            </w:r>
            <w:r>
              <w:rPr>
                <w:rFonts w:cs="Arial"/>
                <w:spacing w:val="-1"/>
                <w:sz w:val="20"/>
                <w:szCs w:val="20"/>
              </w:rPr>
              <w:t xml:space="preserve">, and </w:t>
            </w:r>
            <w:r w:rsidRPr="004E154F">
              <w:rPr>
                <w:rFonts w:cs="Arial"/>
                <w:spacing w:val="-1"/>
                <w:sz w:val="20"/>
                <w:szCs w:val="20"/>
              </w:rPr>
              <w:t xml:space="preserve">includes requirements for defined contribution OPEB plans that replace the requirements for those OPEB plans in Statement No. 25, Statement 43, and Statement No. </w:t>
            </w:r>
            <w:r>
              <w:rPr>
                <w:rFonts w:cs="Arial"/>
                <w:spacing w:val="-1"/>
                <w:sz w:val="20"/>
                <w:szCs w:val="20"/>
              </w:rPr>
              <w:t>50</w:t>
            </w:r>
            <w:r w:rsidRPr="004E154F">
              <w:rPr>
                <w:rFonts w:cs="Arial"/>
                <w:spacing w:val="-1"/>
                <w:sz w:val="20"/>
                <w:szCs w:val="20"/>
              </w:rPr>
              <w:t>.</w:t>
            </w:r>
          </w:p>
          <w:p w:rsidR="004E154F" w:rsidRPr="004E154F" w:rsidRDefault="004E154F" w:rsidP="004E154F">
            <w:pPr>
              <w:kinsoku w:val="0"/>
              <w:overflowPunct w:val="0"/>
              <w:autoSpaceDE w:val="0"/>
              <w:autoSpaceDN w:val="0"/>
              <w:adjustRightInd w:val="0"/>
              <w:spacing w:before="119"/>
              <w:ind w:left="40" w:right="118"/>
              <w:rPr>
                <w:rFonts w:cs="Arial"/>
                <w:spacing w:val="-1"/>
                <w:sz w:val="20"/>
                <w:szCs w:val="20"/>
              </w:rPr>
            </w:pPr>
          </w:p>
          <w:p w:rsidR="004E154F" w:rsidRPr="004E154F" w:rsidRDefault="004E154F" w:rsidP="004E154F">
            <w:pPr>
              <w:kinsoku w:val="0"/>
              <w:overflowPunct w:val="0"/>
              <w:autoSpaceDE w:val="0"/>
              <w:autoSpaceDN w:val="0"/>
              <w:adjustRightInd w:val="0"/>
              <w:spacing w:before="119"/>
              <w:ind w:left="40" w:right="118"/>
              <w:rPr>
                <w:rFonts w:cs="Arial"/>
                <w:spacing w:val="-1"/>
                <w:sz w:val="20"/>
                <w:szCs w:val="20"/>
              </w:rPr>
            </w:pPr>
            <w:r w:rsidRPr="004E154F">
              <w:rPr>
                <w:rFonts w:cs="Arial"/>
                <w:b/>
                <w:spacing w:val="-1"/>
                <w:sz w:val="20"/>
                <w:szCs w:val="20"/>
              </w:rPr>
              <w:t>GASB No. 7</w:t>
            </w:r>
            <w:r>
              <w:rPr>
                <w:rFonts w:cs="Arial"/>
                <w:b/>
                <w:spacing w:val="-1"/>
                <w:sz w:val="20"/>
                <w:szCs w:val="20"/>
              </w:rPr>
              <w:t>5</w:t>
            </w:r>
            <w:r w:rsidRPr="004E154F">
              <w:rPr>
                <w:rFonts w:cs="Arial"/>
                <w:b/>
                <w:spacing w:val="-1"/>
                <w:sz w:val="20"/>
                <w:szCs w:val="20"/>
              </w:rPr>
              <w:t xml:space="preserve">, </w:t>
            </w:r>
            <w:r w:rsidRPr="004E154F">
              <w:rPr>
                <w:rFonts w:cs="Arial"/>
                <w:b/>
                <w:i/>
                <w:spacing w:val="-1"/>
                <w:sz w:val="20"/>
                <w:szCs w:val="20"/>
              </w:rPr>
              <w:t>Accounting and Financial Reporting for Postemployment Benefit</w:t>
            </w:r>
            <w:r>
              <w:rPr>
                <w:rFonts w:cs="Arial"/>
                <w:b/>
                <w:i/>
                <w:spacing w:val="-1"/>
                <w:sz w:val="20"/>
                <w:szCs w:val="20"/>
              </w:rPr>
              <w:t>s</w:t>
            </w:r>
            <w:r w:rsidRPr="004E154F">
              <w:rPr>
                <w:rFonts w:cs="Arial"/>
                <w:b/>
                <w:i/>
                <w:spacing w:val="-1"/>
                <w:sz w:val="20"/>
                <w:szCs w:val="20"/>
              </w:rPr>
              <w:t xml:space="preserve"> Other Than Pension</w:t>
            </w:r>
            <w:r>
              <w:rPr>
                <w:rFonts w:cs="Arial"/>
                <w:b/>
                <w:i/>
                <w:spacing w:val="-1"/>
                <w:sz w:val="20"/>
                <w:szCs w:val="20"/>
              </w:rPr>
              <w:t>s</w:t>
            </w:r>
          </w:p>
          <w:p w:rsidR="0019165F" w:rsidRDefault="004E154F" w:rsidP="004E154F">
            <w:pPr>
              <w:kinsoku w:val="0"/>
              <w:overflowPunct w:val="0"/>
              <w:autoSpaceDE w:val="0"/>
              <w:autoSpaceDN w:val="0"/>
              <w:adjustRightInd w:val="0"/>
              <w:spacing w:before="119"/>
              <w:ind w:left="40" w:right="118"/>
              <w:rPr>
                <w:rFonts w:cs="Arial"/>
                <w:spacing w:val="-1"/>
                <w:sz w:val="20"/>
                <w:szCs w:val="20"/>
              </w:rPr>
            </w:pPr>
            <w:r w:rsidRPr="004E154F">
              <w:rPr>
                <w:rFonts w:cs="Arial"/>
                <w:spacing w:val="-1"/>
                <w:sz w:val="20"/>
                <w:szCs w:val="20"/>
              </w:rPr>
              <w:t>The objective of this Statement is to improve accounting and financial</w:t>
            </w:r>
            <w:r>
              <w:rPr>
                <w:rFonts w:cs="Arial"/>
                <w:spacing w:val="-1"/>
                <w:sz w:val="20"/>
                <w:szCs w:val="20"/>
              </w:rPr>
              <w:t xml:space="preserve"> </w:t>
            </w:r>
            <w:r w:rsidRPr="004E154F">
              <w:rPr>
                <w:rFonts w:cs="Arial"/>
                <w:spacing w:val="-1"/>
                <w:sz w:val="20"/>
                <w:szCs w:val="20"/>
              </w:rPr>
              <w:t xml:space="preserve">reporting by state and local governments for postemployment benefits other than pensions. It also improves information provided by state and local governmental employers about financial support for OPEB that is provided by other entities. </w:t>
            </w:r>
          </w:p>
          <w:p w:rsidR="003919D8" w:rsidRDefault="004E154F" w:rsidP="003919D8">
            <w:pPr>
              <w:kinsoku w:val="0"/>
              <w:overflowPunct w:val="0"/>
              <w:autoSpaceDE w:val="0"/>
              <w:autoSpaceDN w:val="0"/>
              <w:adjustRightInd w:val="0"/>
              <w:spacing w:before="119"/>
              <w:ind w:left="40" w:right="118"/>
              <w:rPr>
                <w:rFonts w:cs="Arial"/>
                <w:spacing w:val="-1"/>
                <w:sz w:val="20"/>
                <w:szCs w:val="20"/>
              </w:rPr>
            </w:pPr>
            <w:r w:rsidRPr="004E154F">
              <w:rPr>
                <w:rFonts w:cs="Arial"/>
                <w:spacing w:val="-1"/>
                <w:sz w:val="20"/>
                <w:szCs w:val="20"/>
              </w:rPr>
              <w:t>This Statement replaces the requirements of Statements No. 45 and No. 57</w:t>
            </w:r>
            <w:r w:rsidR="0019165F">
              <w:rPr>
                <w:rFonts w:cs="Arial"/>
                <w:spacing w:val="-1"/>
                <w:sz w:val="20"/>
                <w:szCs w:val="20"/>
              </w:rPr>
              <w:t xml:space="preserve">, and </w:t>
            </w:r>
            <w:r w:rsidRPr="004E154F">
              <w:rPr>
                <w:rFonts w:cs="Arial"/>
                <w:spacing w:val="-1"/>
                <w:sz w:val="20"/>
                <w:szCs w:val="20"/>
              </w:rPr>
              <w:t>establishes standards for recognizing and measuring liabilities, deferred outflows of resources, deferred inflows of resources, and expense/expenditures. For defined benefit OPEB, this Statement identifies the methods and assumptions that are required to be used to project benefit payments, discount projected benefit payments to their actuarial present value, and attribute that present value to periods of employee service. Note disclosure and required supplementary information requirements about defined benefit</w:t>
            </w:r>
            <w:r w:rsidR="0019165F">
              <w:rPr>
                <w:rFonts w:cs="Arial"/>
                <w:spacing w:val="-1"/>
                <w:sz w:val="20"/>
                <w:szCs w:val="20"/>
              </w:rPr>
              <w:t xml:space="preserve"> </w:t>
            </w:r>
            <w:r w:rsidRPr="004E154F">
              <w:rPr>
                <w:rFonts w:cs="Arial"/>
                <w:spacing w:val="-1"/>
                <w:sz w:val="20"/>
                <w:szCs w:val="20"/>
              </w:rPr>
              <w:t>OPEB also are addressed.</w:t>
            </w:r>
          </w:p>
          <w:p w:rsidR="00911326" w:rsidRDefault="00911326" w:rsidP="003919D8">
            <w:pPr>
              <w:kinsoku w:val="0"/>
              <w:overflowPunct w:val="0"/>
              <w:autoSpaceDE w:val="0"/>
              <w:autoSpaceDN w:val="0"/>
              <w:adjustRightInd w:val="0"/>
              <w:spacing w:before="119"/>
              <w:ind w:left="40" w:right="118"/>
              <w:rPr>
                <w:rFonts w:cs="Arial"/>
                <w:spacing w:val="-1"/>
                <w:sz w:val="20"/>
                <w:szCs w:val="20"/>
              </w:rPr>
            </w:pPr>
          </w:p>
          <w:p w:rsidR="00911326" w:rsidRPr="004E154F" w:rsidRDefault="00911326" w:rsidP="00911326">
            <w:pPr>
              <w:kinsoku w:val="0"/>
              <w:overflowPunct w:val="0"/>
              <w:autoSpaceDE w:val="0"/>
              <w:autoSpaceDN w:val="0"/>
              <w:adjustRightInd w:val="0"/>
              <w:spacing w:before="119"/>
              <w:ind w:left="40" w:right="118"/>
              <w:rPr>
                <w:rFonts w:cs="Arial"/>
                <w:spacing w:val="-1"/>
                <w:sz w:val="20"/>
                <w:szCs w:val="20"/>
              </w:rPr>
            </w:pPr>
            <w:r w:rsidRPr="004E154F">
              <w:rPr>
                <w:rFonts w:cs="Arial"/>
                <w:b/>
                <w:spacing w:val="-1"/>
                <w:sz w:val="20"/>
                <w:szCs w:val="20"/>
              </w:rPr>
              <w:t>GASB No. 7</w:t>
            </w:r>
            <w:r>
              <w:rPr>
                <w:rFonts w:cs="Arial"/>
                <w:b/>
                <w:spacing w:val="-1"/>
                <w:sz w:val="20"/>
                <w:szCs w:val="20"/>
              </w:rPr>
              <w:t>6</w:t>
            </w:r>
            <w:r w:rsidRPr="004E154F">
              <w:rPr>
                <w:rFonts w:cs="Arial"/>
                <w:b/>
                <w:spacing w:val="-1"/>
                <w:sz w:val="20"/>
                <w:szCs w:val="20"/>
              </w:rPr>
              <w:t xml:space="preserve">, </w:t>
            </w:r>
            <w:r>
              <w:rPr>
                <w:rFonts w:cs="Arial"/>
                <w:b/>
                <w:spacing w:val="-1"/>
                <w:sz w:val="20"/>
                <w:szCs w:val="20"/>
              </w:rPr>
              <w:t>T</w:t>
            </w:r>
            <w:r>
              <w:rPr>
                <w:rFonts w:cs="Arial"/>
                <w:b/>
                <w:i/>
                <w:spacing w:val="-1"/>
                <w:sz w:val="20"/>
                <w:szCs w:val="20"/>
              </w:rPr>
              <w:t>he Hierarchy of GAAP for State and Local Governments</w:t>
            </w:r>
          </w:p>
          <w:p w:rsidR="00911326" w:rsidRDefault="00911326" w:rsidP="00911326">
            <w:pPr>
              <w:kinsoku w:val="0"/>
              <w:overflowPunct w:val="0"/>
              <w:autoSpaceDE w:val="0"/>
              <w:autoSpaceDN w:val="0"/>
              <w:adjustRightInd w:val="0"/>
              <w:spacing w:before="119"/>
              <w:ind w:left="40" w:right="118"/>
              <w:rPr>
                <w:rFonts w:cs="Arial"/>
                <w:spacing w:val="-1"/>
                <w:sz w:val="20"/>
                <w:szCs w:val="20"/>
              </w:rPr>
            </w:pPr>
            <w:r w:rsidRPr="00911326">
              <w:rPr>
                <w:rFonts w:cs="Arial"/>
                <w:spacing w:val="-1"/>
                <w:sz w:val="20"/>
                <w:szCs w:val="20"/>
              </w:rPr>
              <w:t xml:space="preserve">The objective of this Statement is to </w:t>
            </w:r>
            <w:r>
              <w:rPr>
                <w:rFonts w:cs="Arial"/>
                <w:spacing w:val="-1"/>
                <w:sz w:val="20"/>
                <w:szCs w:val="20"/>
              </w:rPr>
              <w:t xml:space="preserve">identify </w:t>
            </w:r>
            <w:r w:rsidRPr="00911326">
              <w:rPr>
                <w:rFonts w:cs="Arial"/>
                <w:spacing w:val="-1"/>
                <w:sz w:val="20"/>
                <w:szCs w:val="20"/>
              </w:rPr>
              <w:t xml:space="preserve">the hierarchy of generally accepted accounting principles (GAAP). The “GAAP hierarchy” consists of the sources of accounting principles used to prepare financial statements of state and local governmental entities in conformity with GAAP and the framework for selecting those principles. </w:t>
            </w:r>
          </w:p>
          <w:p w:rsidR="00911326" w:rsidRPr="00911326" w:rsidRDefault="00911326" w:rsidP="00911326">
            <w:pPr>
              <w:kinsoku w:val="0"/>
              <w:overflowPunct w:val="0"/>
              <w:autoSpaceDE w:val="0"/>
              <w:autoSpaceDN w:val="0"/>
              <w:adjustRightInd w:val="0"/>
              <w:spacing w:before="119"/>
              <w:ind w:left="40" w:right="118"/>
              <w:rPr>
                <w:rFonts w:cs="Arial"/>
                <w:spacing w:val="-1"/>
                <w:sz w:val="20"/>
                <w:szCs w:val="20"/>
              </w:rPr>
            </w:pPr>
            <w:r w:rsidRPr="00911326">
              <w:rPr>
                <w:rFonts w:cs="Arial"/>
                <w:spacing w:val="-1"/>
                <w:sz w:val="20"/>
                <w:szCs w:val="20"/>
              </w:rPr>
              <w:t>This Statement supersedes Statement No. 55</w:t>
            </w:r>
            <w:r>
              <w:rPr>
                <w:rFonts w:cs="Arial"/>
                <w:spacing w:val="-1"/>
                <w:sz w:val="20"/>
                <w:szCs w:val="20"/>
              </w:rPr>
              <w:t xml:space="preserve">, </w:t>
            </w:r>
            <w:r w:rsidRPr="00911326">
              <w:rPr>
                <w:rFonts w:cs="Arial"/>
                <w:spacing w:val="-1"/>
                <w:sz w:val="20"/>
                <w:szCs w:val="20"/>
              </w:rPr>
              <w:t>reduces the GAAP hierarchy to two categories of authoritative GAAP</w:t>
            </w:r>
            <w:r>
              <w:rPr>
                <w:rFonts w:cs="Arial"/>
                <w:spacing w:val="-1"/>
                <w:sz w:val="20"/>
                <w:szCs w:val="20"/>
              </w:rPr>
              <w:t>,</w:t>
            </w:r>
            <w:r w:rsidRPr="00911326">
              <w:rPr>
                <w:rFonts w:cs="Arial"/>
                <w:spacing w:val="-1"/>
                <w:sz w:val="20"/>
                <w:szCs w:val="20"/>
              </w:rPr>
              <w:t xml:space="preserve"> and addresses the use of authoritative and nonauthoritative literature in the event that the accounting treatment for a transaction or other event is not specified within a source of authoritative GAAP.</w:t>
            </w:r>
            <w:r w:rsidRPr="00911326">
              <w:rPr>
                <w:rFonts w:cs="Arial"/>
                <w:i/>
                <w:iCs/>
                <w:spacing w:val="-1"/>
                <w:sz w:val="20"/>
                <w:szCs w:val="20"/>
              </w:rPr>
              <w:t xml:space="preserve"> </w:t>
            </w:r>
          </w:p>
          <w:p w:rsidR="00911326" w:rsidRDefault="00911326" w:rsidP="003919D8">
            <w:pPr>
              <w:kinsoku w:val="0"/>
              <w:overflowPunct w:val="0"/>
              <w:autoSpaceDE w:val="0"/>
              <w:autoSpaceDN w:val="0"/>
              <w:adjustRightInd w:val="0"/>
              <w:spacing w:before="119"/>
              <w:ind w:left="40" w:right="118"/>
              <w:rPr>
                <w:rFonts w:ascii="Arial" w:eastAsia="Times New Roman" w:hAnsi="Arial" w:cs="Arial"/>
                <w:b/>
                <w:sz w:val="18"/>
                <w:szCs w:val="18"/>
              </w:rPr>
            </w:pPr>
            <w:r w:rsidRPr="00911326">
              <w:rPr>
                <w:rFonts w:cs="Arial"/>
                <w:spacing w:val="-1"/>
                <w:sz w:val="20"/>
                <w:szCs w:val="20"/>
              </w:rPr>
              <w:t>The Statement</w:t>
            </w:r>
            <w:r>
              <w:rPr>
                <w:rFonts w:cs="Arial"/>
                <w:spacing w:val="-1"/>
                <w:sz w:val="20"/>
                <w:szCs w:val="20"/>
              </w:rPr>
              <w:t xml:space="preserve"> also</w:t>
            </w:r>
            <w:r w:rsidRPr="00911326">
              <w:rPr>
                <w:rFonts w:cs="Arial"/>
                <w:spacing w:val="-1"/>
                <w:sz w:val="20"/>
                <w:szCs w:val="20"/>
              </w:rPr>
              <w:t xml:space="preserve"> improve financial reporting by (1) raising</w:t>
            </w:r>
            <w:r>
              <w:rPr>
                <w:rFonts w:cs="Arial"/>
                <w:spacing w:val="-1"/>
                <w:sz w:val="20"/>
                <w:szCs w:val="20"/>
              </w:rPr>
              <w:t xml:space="preserve"> </w:t>
            </w:r>
            <w:r w:rsidRPr="00911326">
              <w:rPr>
                <w:rFonts w:cs="Arial"/>
                <w:spacing w:val="-1"/>
                <w:sz w:val="20"/>
                <w:szCs w:val="20"/>
              </w:rPr>
              <w:t>the category of GASB Implementation Guides in the GAAP hierarchy, providing the opportunity for broader public input on implementation guidance;</w:t>
            </w:r>
            <w:r>
              <w:rPr>
                <w:rFonts w:cs="Arial"/>
                <w:spacing w:val="-1"/>
                <w:sz w:val="20"/>
                <w:szCs w:val="20"/>
              </w:rPr>
              <w:t xml:space="preserve"> </w:t>
            </w:r>
            <w:r w:rsidR="003E6728">
              <w:rPr>
                <w:rFonts w:cs="Arial"/>
                <w:spacing w:val="-1"/>
                <w:sz w:val="20"/>
                <w:szCs w:val="20"/>
              </w:rPr>
              <w:t xml:space="preserve">(2) </w:t>
            </w:r>
            <w:r w:rsidRPr="00911326">
              <w:rPr>
                <w:rFonts w:cs="Arial"/>
                <w:spacing w:val="-1"/>
                <w:sz w:val="20"/>
                <w:szCs w:val="20"/>
              </w:rPr>
              <w:t>emphasizing the importance of analogies to authoritative literature when the accounting treatment for an event is not specified in authoritative GAAP; and</w:t>
            </w:r>
            <w:r>
              <w:rPr>
                <w:rFonts w:cs="Arial"/>
                <w:spacing w:val="-1"/>
                <w:sz w:val="20"/>
                <w:szCs w:val="20"/>
              </w:rPr>
              <w:t xml:space="preserve"> </w:t>
            </w:r>
            <w:r w:rsidR="003E6728">
              <w:rPr>
                <w:rFonts w:cs="Arial"/>
                <w:spacing w:val="-1"/>
                <w:sz w:val="20"/>
                <w:szCs w:val="20"/>
              </w:rPr>
              <w:t xml:space="preserve">(3) </w:t>
            </w:r>
            <w:r w:rsidRPr="00911326">
              <w:rPr>
                <w:rFonts w:cs="Arial"/>
                <w:spacing w:val="-1"/>
                <w:sz w:val="20"/>
                <w:szCs w:val="20"/>
              </w:rPr>
              <w:t xml:space="preserve">requiring the consideration of consistency with the GASB Concepts Statements when evaluating accounting treatments specified in nonauthoritative literature. </w:t>
            </w:r>
          </w:p>
          <w:p w:rsidR="003919D8" w:rsidRPr="00F430C4" w:rsidRDefault="003919D8" w:rsidP="003919D8">
            <w:pPr>
              <w:kinsoku w:val="0"/>
              <w:overflowPunct w:val="0"/>
              <w:autoSpaceDE w:val="0"/>
              <w:autoSpaceDN w:val="0"/>
              <w:adjustRightInd w:val="0"/>
              <w:spacing w:before="119"/>
              <w:ind w:left="40" w:right="118"/>
              <w:rPr>
                <w:rFonts w:ascii="Arial" w:eastAsia="Times New Roman" w:hAnsi="Arial" w:cs="Arial"/>
                <w:b/>
                <w:sz w:val="18"/>
                <w:szCs w:val="18"/>
              </w:rPr>
            </w:pPr>
          </w:p>
        </w:tc>
      </w:tr>
    </w:tbl>
    <w:p w:rsidR="009007B6" w:rsidRDefault="009007B6" w:rsidP="009007B6">
      <w:pPr>
        <w:kinsoku w:val="0"/>
        <w:overflowPunct w:val="0"/>
        <w:autoSpaceDE w:val="0"/>
        <w:autoSpaceDN w:val="0"/>
        <w:adjustRightInd w:val="0"/>
        <w:spacing w:line="184" w:lineRule="exact"/>
        <w:ind w:left="40"/>
        <w:rPr>
          <w:rFonts w:cs="Arial"/>
          <w:b/>
          <w:sz w:val="20"/>
          <w:szCs w:val="20"/>
        </w:rPr>
      </w:pPr>
    </w:p>
    <w:sectPr w:rsidR="00900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2"/>
      <w:numFmt w:val="decimal"/>
      <w:lvlText w:val="(%1)"/>
      <w:lvlJc w:val="left"/>
      <w:pPr>
        <w:ind w:left="114" w:hanging="269"/>
      </w:pPr>
      <w:rPr>
        <w:rFonts w:ascii="Arial" w:hAnsi="Arial" w:cs="Arial"/>
        <w:b w:val="0"/>
        <w:bCs w:val="0"/>
        <w:color w:val="231F20"/>
        <w:spacing w:val="-2"/>
        <w:w w:val="99"/>
        <w:sz w:val="19"/>
        <w:szCs w:val="19"/>
      </w:rPr>
    </w:lvl>
    <w:lvl w:ilvl="1">
      <w:numFmt w:val="bullet"/>
      <w:lvlText w:val="•"/>
      <w:lvlJc w:val="left"/>
      <w:pPr>
        <w:ind w:left="772" w:hanging="269"/>
      </w:pPr>
    </w:lvl>
    <w:lvl w:ilvl="2">
      <w:numFmt w:val="bullet"/>
      <w:lvlText w:val="•"/>
      <w:lvlJc w:val="left"/>
      <w:pPr>
        <w:ind w:left="1431" w:hanging="269"/>
      </w:pPr>
    </w:lvl>
    <w:lvl w:ilvl="3">
      <w:numFmt w:val="bullet"/>
      <w:lvlText w:val="•"/>
      <w:lvlJc w:val="left"/>
      <w:pPr>
        <w:ind w:left="2089" w:hanging="269"/>
      </w:pPr>
    </w:lvl>
    <w:lvl w:ilvl="4">
      <w:numFmt w:val="bullet"/>
      <w:lvlText w:val="•"/>
      <w:lvlJc w:val="left"/>
      <w:pPr>
        <w:ind w:left="2747" w:hanging="269"/>
      </w:pPr>
    </w:lvl>
    <w:lvl w:ilvl="5">
      <w:numFmt w:val="bullet"/>
      <w:lvlText w:val="•"/>
      <w:lvlJc w:val="left"/>
      <w:pPr>
        <w:ind w:left="3405" w:hanging="269"/>
      </w:pPr>
    </w:lvl>
    <w:lvl w:ilvl="6">
      <w:numFmt w:val="bullet"/>
      <w:lvlText w:val="•"/>
      <w:lvlJc w:val="left"/>
      <w:pPr>
        <w:ind w:left="4064" w:hanging="269"/>
      </w:pPr>
    </w:lvl>
    <w:lvl w:ilvl="7">
      <w:numFmt w:val="bullet"/>
      <w:lvlText w:val="•"/>
      <w:lvlJc w:val="left"/>
      <w:pPr>
        <w:ind w:left="4722" w:hanging="269"/>
      </w:pPr>
    </w:lvl>
    <w:lvl w:ilvl="8">
      <w:numFmt w:val="bullet"/>
      <w:lvlText w:val="•"/>
      <w:lvlJc w:val="left"/>
      <w:pPr>
        <w:ind w:left="5380" w:hanging="269"/>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0AD"/>
    <w:rsid w:val="00011CAE"/>
    <w:rsid w:val="00062068"/>
    <w:rsid w:val="00090C51"/>
    <w:rsid w:val="000C7E71"/>
    <w:rsid w:val="00172B9A"/>
    <w:rsid w:val="0019165F"/>
    <w:rsid w:val="00256F61"/>
    <w:rsid w:val="003919D8"/>
    <w:rsid w:val="003A39A7"/>
    <w:rsid w:val="003B0BE1"/>
    <w:rsid w:val="003E6728"/>
    <w:rsid w:val="004E154F"/>
    <w:rsid w:val="00510182"/>
    <w:rsid w:val="00554C6C"/>
    <w:rsid w:val="005D2DAB"/>
    <w:rsid w:val="005F7347"/>
    <w:rsid w:val="00673F75"/>
    <w:rsid w:val="006B1DDA"/>
    <w:rsid w:val="007127C4"/>
    <w:rsid w:val="00763C05"/>
    <w:rsid w:val="007C36CC"/>
    <w:rsid w:val="0083626C"/>
    <w:rsid w:val="00890DCC"/>
    <w:rsid w:val="008B1E4C"/>
    <w:rsid w:val="008B5153"/>
    <w:rsid w:val="008D1017"/>
    <w:rsid w:val="008E403C"/>
    <w:rsid w:val="009007B6"/>
    <w:rsid w:val="00911326"/>
    <w:rsid w:val="00913287"/>
    <w:rsid w:val="00993D9C"/>
    <w:rsid w:val="009F0B9B"/>
    <w:rsid w:val="00A50044"/>
    <w:rsid w:val="00A673BB"/>
    <w:rsid w:val="00A707C9"/>
    <w:rsid w:val="00AB15C1"/>
    <w:rsid w:val="00AC4623"/>
    <w:rsid w:val="00B30B0E"/>
    <w:rsid w:val="00B36A5C"/>
    <w:rsid w:val="00C320A2"/>
    <w:rsid w:val="00C640AD"/>
    <w:rsid w:val="00D417E0"/>
    <w:rsid w:val="00D431D3"/>
    <w:rsid w:val="00D80793"/>
    <w:rsid w:val="00D90E75"/>
    <w:rsid w:val="00DC287D"/>
    <w:rsid w:val="00DF37F9"/>
    <w:rsid w:val="00E02931"/>
    <w:rsid w:val="00E07892"/>
    <w:rsid w:val="00EC4288"/>
    <w:rsid w:val="00EE23F6"/>
    <w:rsid w:val="00F35DFA"/>
    <w:rsid w:val="00F430C4"/>
    <w:rsid w:val="00FF7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B97030-4DAC-4ACD-8E76-AB338A747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4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AB15C1"/>
    <w:pPr>
      <w:spacing w:after="120"/>
    </w:pPr>
  </w:style>
  <w:style w:type="character" w:customStyle="1" w:styleId="BodyTextChar">
    <w:name w:val="Body Text Char"/>
    <w:basedOn w:val="DefaultParagraphFont"/>
    <w:link w:val="BodyText"/>
    <w:uiPriority w:val="99"/>
    <w:rsid w:val="00AB15C1"/>
  </w:style>
  <w:style w:type="paragraph" w:customStyle="1" w:styleId="para-10-1">
    <w:name w:val="para-10-1"/>
    <w:basedOn w:val="Normal"/>
    <w:next w:val="Normal"/>
    <w:rsid w:val="00554C6C"/>
    <w:pPr>
      <w:keepLines/>
      <w:spacing w:before="240" w:after="0" w:line="240" w:lineRule="auto"/>
      <w:ind w:left="1800" w:hanging="90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1604</Words>
  <Characters>9145</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Cox</dc:creator>
  <cp:keywords/>
  <dc:description/>
  <cp:lastModifiedBy>Elizabeth Kolar</cp:lastModifiedBy>
  <cp:revision>2</cp:revision>
  <dcterms:created xsi:type="dcterms:W3CDTF">2015-12-11T13:45:00Z</dcterms:created>
  <dcterms:modified xsi:type="dcterms:W3CDTF">2015-12-11T13:45:00Z</dcterms:modified>
</cp:coreProperties>
</file>